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2483" w14:textId="77777777" w:rsidR="00B51B47" w:rsidRPr="006A47B7" w:rsidRDefault="005039D9" w:rsidP="00507FDA">
      <w:pPr>
        <w:spacing w:line="360" w:lineRule="auto"/>
        <w:jc w:val="center"/>
        <w:rPr>
          <w:rFonts w:asciiTheme="majorBidi" w:hAnsiTheme="majorBidi" w:cstheme="majorBidi"/>
          <w:b/>
          <w:bCs/>
          <w:sz w:val="24"/>
          <w:szCs w:val="24"/>
        </w:rPr>
      </w:pPr>
      <w:bookmarkStart w:id="0" w:name="_Hlk107353014"/>
      <w:bookmarkEnd w:id="0"/>
      <w:r w:rsidRPr="006A47B7">
        <w:rPr>
          <w:rFonts w:asciiTheme="majorBidi" w:hAnsiTheme="majorBidi" w:cstheme="majorBidi"/>
          <w:b/>
          <w:bCs/>
          <w:sz w:val="24"/>
          <w:szCs w:val="24"/>
        </w:rPr>
        <w:t xml:space="preserve">Evaluation of ultrasonography measurement of superior vena cava diameter in comparison to central venous pressure in guiding of fluid therapy in patients with hypovolemic shock </w:t>
      </w:r>
    </w:p>
    <w:p w14:paraId="257858CF" w14:textId="2A5A10E9" w:rsidR="00B51B47" w:rsidRPr="006A47B7" w:rsidRDefault="00311057" w:rsidP="00311057">
      <w:pPr>
        <w:spacing w:line="360" w:lineRule="auto"/>
        <w:jc w:val="both"/>
        <w:rPr>
          <w:rFonts w:asciiTheme="majorBidi" w:hAnsiTheme="majorBidi" w:cstheme="majorBidi"/>
          <w:sz w:val="24"/>
          <w:szCs w:val="24"/>
        </w:rPr>
      </w:pPr>
      <w:r w:rsidRPr="00311057">
        <w:rPr>
          <w:rFonts w:asciiTheme="majorBidi" w:hAnsiTheme="majorBidi" w:cstheme="majorBidi"/>
          <w:sz w:val="24"/>
          <w:szCs w:val="24"/>
        </w:rPr>
        <w:t xml:space="preserve">Ehab </w:t>
      </w:r>
      <w:proofErr w:type="spellStart"/>
      <w:r w:rsidRPr="00311057">
        <w:rPr>
          <w:rFonts w:asciiTheme="majorBidi" w:hAnsiTheme="majorBidi" w:cstheme="majorBidi"/>
          <w:sz w:val="24"/>
          <w:szCs w:val="24"/>
        </w:rPr>
        <w:t>saeed</w:t>
      </w:r>
      <w:proofErr w:type="spellEnd"/>
      <w:r w:rsidRPr="00311057">
        <w:rPr>
          <w:rFonts w:asciiTheme="majorBidi" w:hAnsiTheme="majorBidi" w:cstheme="majorBidi"/>
          <w:sz w:val="24"/>
          <w:szCs w:val="24"/>
        </w:rPr>
        <w:t xml:space="preserve"> abdelazeem</w:t>
      </w:r>
      <w:r w:rsidR="005039D9" w:rsidRPr="006A47B7">
        <w:rPr>
          <w:rFonts w:asciiTheme="majorBidi" w:hAnsiTheme="majorBidi" w:cstheme="majorBidi"/>
          <w:sz w:val="24"/>
          <w:szCs w:val="24"/>
        </w:rPr>
        <w:t xml:space="preserve">1. </w:t>
      </w:r>
      <w:r w:rsidRPr="00311057">
        <w:rPr>
          <w:rFonts w:asciiTheme="majorBidi" w:hAnsiTheme="majorBidi" w:cstheme="majorBidi"/>
          <w:sz w:val="24"/>
          <w:szCs w:val="24"/>
        </w:rPr>
        <w:t xml:space="preserve">Dina </w:t>
      </w:r>
      <w:proofErr w:type="spellStart"/>
      <w:r w:rsidRPr="00311057">
        <w:rPr>
          <w:rFonts w:asciiTheme="majorBidi" w:hAnsiTheme="majorBidi" w:cstheme="majorBidi"/>
          <w:sz w:val="24"/>
          <w:szCs w:val="24"/>
        </w:rPr>
        <w:t>hosney</w:t>
      </w:r>
      <w:proofErr w:type="spellEnd"/>
      <w:r w:rsidRPr="00311057">
        <w:rPr>
          <w:rFonts w:asciiTheme="majorBidi" w:hAnsiTheme="majorBidi" w:cstheme="majorBidi"/>
          <w:sz w:val="24"/>
          <w:szCs w:val="24"/>
        </w:rPr>
        <w:t xml:space="preserve"> elbarbary</w:t>
      </w:r>
      <w:r w:rsidR="005039D9" w:rsidRPr="006A47B7">
        <w:rPr>
          <w:rFonts w:asciiTheme="majorBidi" w:hAnsiTheme="majorBidi" w:cstheme="majorBidi"/>
          <w:sz w:val="24"/>
          <w:szCs w:val="24"/>
        </w:rPr>
        <w:t>2.</w:t>
      </w:r>
      <w:r w:rsidR="00134F64">
        <w:rPr>
          <w:rFonts w:asciiTheme="majorBidi" w:hAnsiTheme="majorBidi" w:cstheme="majorBidi"/>
          <w:sz w:val="24"/>
          <w:szCs w:val="24"/>
        </w:rPr>
        <w:t xml:space="preserve"> </w:t>
      </w:r>
      <w:r w:rsidRPr="00311057">
        <w:rPr>
          <w:rFonts w:asciiTheme="majorBidi" w:hAnsiTheme="majorBidi" w:cstheme="majorBidi"/>
          <w:sz w:val="24"/>
          <w:szCs w:val="24"/>
        </w:rPr>
        <w:t>Gehad Mohamed Mohsen Mahmoud3.</w:t>
      </w:r>
      <w:r w:rsidRPr="006A47B7">
        <w:rPr>
          <w:rFonts w:asciiTheme="majorBidi" w:hAnsiTheme="majorBidi" w:cstheme="majorBidi"/>
          <w:sz w:val="24"/>
          <w:szCs w:val="24"/>
        </w:rPr>
        <w:t xml:space="preserve"> </w:t>
      </w:r>
      <w:r w:rsidR="005039D9" w:rsidRPr="006A47B7">
        <w:rPr>
          <w:rFonts w:asciiTheme="majorBidi" w:hAnsiTheme="majorBidi" w:cstheme="majorBidi"/>
          <w:sz w:val="24"/>
          <w:szCs w:val="24"/>
        </w:rPr>
        <w:t>Department of Intensive care and anasetheia1,2</w:t>
      </w:r>
      <w:r w:rsidR="00134F64">
        <w:rPr>
          <w:rFonts w:asciiTheme="majorBidi" w:hAnsiTheme="majorBidi" w:cstheme="majorBidi"/>
          <w:sz w:val="24"/>
          <w:szCs w:val="24"/>
        </w:rPr>
        <w:t xml:space="preserve"> .Department of critical care3</w:t>
      </w:r>
      <w:r w:rsidR="005039D9" w:rsidRPr="006A47B7">
        <w:rPr>
          <w:rFonts w:asciiTheme="majorBidi" w:hAnsiTheme="majorBidi" w:cstheme="majorBidi"/>
          <w:sz w:val="24"/>
          <w:szCs w:val="24"/>
        </w:rPr>
        <w:t>. Faculty of med</w:t>
      </w:r>
      <w:r>
        <w:rPr>
          <w:rFonts w:asciiTheme="majorBidi" w:hAnsiTheme="majorBidi" w:cstheme="majorBidi"/>
          <w:sz w:val="24"/>
          <w:szCs w:val="24"/>
        </w:rPr>
        <w:t>icine. Banha university 1,2,3.</w:t>
      </w:r>
    </w:p>
    <w:p w14:paraId="748D1A8D" w14:textId="77777777" w:rsidR="00134F64" w:rsidRDefault="005039D9" w:rsidP="00507FDA">
      <w:pPr>
        <w:spacing w:line="360" w:lineRule="auto"/>
        <w:jc w:val="both"/>
        <w:rPr>
          <w:rFonts w:asciiTheme="majorBidi" w:hAnsiTheme="majorBidi" w:cstheme="majorBidi"/>
          <w:sz w:val="24"/>
          <w:szCs w:val="24"/>
        </w:rPr>
      </w:pPr>
      <w:r w:rsidRPr="006A47B7">
        <w:rPr>
          <w:rFonts w:asciiTheme="majorBidi" w:hAnsiTheme="majorBidi" w:cstheme="majorBidi"/>
          <w:b/>
          <w:bCs/>
          <w:sz w:val="24"/>
          <w:szCs w:val="24"/>
        </w:rPr>
        <w:t>Corresponding author</w:t>
      </w:r>
      <w:r w:rsidRPr="006A47B7">
        <w:rPr>
          <w:rFonts w:asciiTheme="majorBidi" w:hAnsiTheme="majorBidi" w:cstheme="majorBidi"/>
          <w:sz w:val="24"/>
          <w:szCs w:val="24"/>
        </w:rPr>
        <w:t xml:space="preserve">: </w:t>
      </w:r>
      <w:r w:rsidRPr="006A47B7">
        <w:rPr>
          <w:rFonts w:asciiTheme="majorBidi" w:eastAsia="SimSun" w:hAnsiTheme="majorBidi" w:cstheme="majorBidi"/>
          <w:color w:val="000000"/>
          <w:sz w:val="24"/>
          <w:szCs w:val="24"/>
          <w:lang w:bidi="ar-EG"/>
        </w:rPr>
        <w:t>Gehad Mohamed Mohsen Mahmoud</w:t>
      </w:r>
      <w:r w:rsidRPr="006A47B7">
        <w:rPr>
          <w:rFonts w:asciiTheme="majorBidi" w:hAnsiTheme="majorBidi" w:cstheme="majorBidi"/>
          <w:sz w:val="24"/>
          <w:szCs w:val="24"/>
        </w:rPr>
        <w:t xml:space="preserve">. </w:t>
      </w:r>
    </w:p>
    <w:p w14:paraId="14F3BEEA" w14:textId="06152730" w:rsidR="00B51B47" w:rsidRPr="006A47B7" w:rsidRDefault="005039D9" w:rsidP="00507FDA">
      <w:pPr>
        <w:spacing w:line="360" w:lineRule="auto"/>
        <w:jc w:val="both"/>
        <w:rPr>
          <w:rFonts w:asciiTheme="majorBidi" w:hAnsiTheme="majorBidi" w:cstheme="majorBidi"/>
          <w:sz w:val="24"/>
          <w:szCs w:val="24"/>
        </w:rPr>
      </w:pPr>
      <w:r w:rsidRPr="006A47B7">
        <w:rPr>
          <w:rFonts w:asciiTheme="majorBidi" w:hAnsiTheme="majorBidi" w:cstheme="majorBidi"/>
          <w:b/>
          <w:bCs/>
          <w:sz w:val="24"/>
          <w:szCs w:val="24"/>
        </w:rPr>
        <w:t>E- M</w:t>
      </w:r>
      <w:r w:rsidR="00134F64" w:rsidRPr="006A47B7">
        <w:rPr>
          <w:rFonts w:asciiTheme="majorBidi" w:hAnsiTheme="majorBidi" w:cstheme="majorBidi"/>
          <w:b/>
          <w:bCs/>
          <w:sz w:val="24"/>
          <w:szCs w:val="24"/>
        </w:rPr>
        <w:t>a</w:t>
      </w:r>
      <w:r w:rsidRPr="006A47B7">
        <w:rPr>
          <w:rFonts w:asciiTheme="majorBidi" w:hAnsiTheme="majorBidi" w:cstheme="majorBidi"/>
          <w:b/>
          <w:bCs/>
          <w:sz w:val="24"/>
          <w:szCs w:val="24"/>
        </w:rPr>
        <w:t>il</w:t>
      </w:r>
      <w:r w:rsidR="00134F64">
        <w:rPr>
          <w:rFonts w:asciiTheme="majorBidi" w:hAnsiTheme="majorBidi" w:cstheme="majorBidi"/>
          <w:sz w:val="24"/>
          <w:szCs w:val="24"/>
        </w:rPr>
        <w:t xml:space="preserve"> gehad.msallam@gmail.com.</w:t>
      </w:r>
    </w:p>
    <w:p w14:paraId="65EFD5F2" w14:textId="77777777" w:rsidR="00B51B47" w:rsidRPr="006A47B7" w:rsidRDefault="005039D9" w:rsidP="00507FDA">
      <w:pPr>
        <w:spacing w:line="360" w:lineRule="auto"/>
        <w:rPr>
          <w:rFonts w:asciiTheme="majorBidi" w:hAnsiTheme="majorBidi" w:cstheme="majorBidi"/>
          <w:sz w:val="24"/>
          <w:szCs w:val="24"/>
        </w:rPr>
      </w:pPr>
      <w:r w:rsidRPr="006A47B7">
        <w:rPr>
          <w:rFonts w:asciiTheme="majorBidi" w:hAnsiTheme="majorBidi" w:cstheme="majorBidi"/>
          <w:b/>
          <w:bCs/>
          <w:sz w:val="24"/>
          <w:szCs w:val="24"/>
        </w:rPr>
        <w:t>ABSTRACT</w:t>
      </w:r>
    </w:p>
    <w:p w14:paraId="3CEF94EF" w14:textId="77777777" w:rsidR="00B51B47" w:rsidRPr="006A47B7" w:rsidRDefault="005039D9" w:rsidP="00E15F8D">
      <w:pPr>
        <w:autoSpaceDE w:val="0"/>
        <w:autoSpaceDN w:val="0"/>
        <w:adjustRightInd w:val="0"/>
        <w:spacing w:line="360" w:lineRule="auto"/>
        <w:jc w:val="both"/>
        <w:rPr>
          <w:rFonts w:asciiTheme="majorBidi" w:hAnsiTheme="majorBidi" w:cstheme="majorBidi"/>
          <w:sz w:val="24"/>
          <w:szCs w:val="24"/>
        </w:rPr>
      </w:pPr>
      <w:r w:rsidRPr="006A47B7">
        <w:rPr>
          <w:rFonts w:asciiTheme="majorBidi" w:hAnsiTheme="majorBidi" w:cstheme="majorBidi"/>
          <w:b/>
          <w:bCs/>
          <w:sz w:val="24"/>
          <w:szCs w:val="24"/>
        </w:rPr>
        <w:t>Background:</w:t>
      </w:r>
      <w:r w:rsidRPr="006A47B7">
        <w:rPr>
          <w:rFonts w:asciiTheme="majorBidi" w:hAnsiTheme="majorBidi" w:cstheme="majorBidi"/>
          <w:sz w:val="24"/>
          <w:szCs w:val="24"/>
        </w:rPr>
        <w:t xml:space="preserve"> Central venous pressure (CVP) measurement is fundamental in perioperative medicine and is often achieved invasively with a central venous catheter (CVC). CVP can be estimated non-invasively by clinical examination </w:t>
      </w:r>
      <w:r w:rsidR="006A47B7">
        <w:rPr>
          <w:rFonts w:asciiTheme="majorBidi" w:hAnsiTheme="majorBidi" w:cstheme="majorBidi"/>
          <w:sz w:val="24"/>
          <w:szCs w:val="24"/>
        </w:rPr>
        <w:t xml:space="preserve">of the jugular venous pressure. </w:t>
      </w:r>
      <w:r w:rsidRPr="006A47B7">
        <w:rPr>
          <w:rFonts w:asciiTheme="majorBidi" w:hAnsiTheme="majorBidi" w:cstheme="majorBidi"/>
          <w:sz w:val="24"/>
          <w:szCs w:val="24"/>
        </w:rPr>
        <w:t>Echocardiography has been used to estimate CVP,</w:t>
      </w:r>
      <w:r w:rsidR="006A47B7">
        <w:rPr>
          <w:rFonts w:asciiTheme="majorBidi" w:hAnsiTheme="majorBidi" w:cstheme="majorBidi"/>
          <w:sz w:val="24"/>
          <w:szCs w:val="24"/>
        </w:rPr>
        <w:t xml:space="preserve"> </w:t>
      </w:r>
      <w:r w:rsidRPr="006A47B7">
        <w:rPr>
          <w:rFonts w:asciiTheme="majorBidi" w:hAnsiTheme="majorBidi" w:cstheme="majorBidi"/>
          <w:sz w:val="24"/>
          <w:szCs w:val="24"/>
        </w:rPr>
        <w:t xml:space="preserve">with particular emphasis on the </w:t>
      </w:r>
      <w:r w:rsidR="00E15F8D">
        <w:rPr>
          <w:rFonts w:asciiTheme="majorBidi" w:hAnsiTheme="majorBidi" w:cstheme="majorBidi"/>
          <w:sz w:val="24"/>
          <w:szCs w:val="24"/>
        </w:rPr>
        <w:t xml:space="preserve">superior </w:t>
      </w:r>
      <w:r w:rsidRPr="006A47B7">
        <w:rPr>
          <w:rFonts w:asciiTheme="majorBidi" w:hAnsiTheme="majorBidi" w:cstheme="majorBidi"/>
          <w:sz w:val="24"/>
          <w:szCs w:val="24"/>
        </w:rPr>
        <w:t>vena cava (</w:t>
      </w:r>
      <w:r w:rsidR="00E15F8D">
        <w:rPr>
          <w:rFonts w:asciiTheme="majorBidi" w:hAnsiTheme="majorBidi" w:cstheme="majorBidi"/>
          <w:sz w:val="24"/>
          <w:szCs w:val="24"/>
        </w:rPr>
        <w:t>S</w:t>
      </w:r>
      <w:r w:rsidRPr="006A47B7">
        <w:rPr>
          <w:rFonts w:asciiTheme="majorBidi" w:hAnsiTheme="majorBidi" w:cstheme="majorBidi"/>
          <w:sz w:val="24"/>
          <w:szCs w:val="24"/>
        </w:rPr>
        <w:t>VC)</w:t>
      </w:r>
      <w:r w:rsidR="006A47B7">
        <w:rPr>
          <w:rFonts w:asciiTheme="majorBidi" w:hAnsiTheme="majorBidi" w:cstheme="majorBidi"/>
          <w:sz w:val="24"/>
          <w:szCs w:val="24"/>
        </w:rPr>
        <w:t xml:space="preserve"> </w:t>
      </w:r>
      <w:r w:rsidRPr="006A47B7">
        <w:rPr>
          <w:rFonts w:asciiTheme="majorBidi" w:hAnsiTheme="majorBidi" w:cstheme="majorBidi"/>
          <w:sz w:val="24"/>
          <w:szCs w:val="24"/>
        </w:rPr>
        <w:t xml:space="preserve">diameter and collapsibility with respiration. </w:t>
      </w:r>
      <w:r w:rsidRPr="006A47B7">
        <w:rPr>
          <w:rFonts w:asciiTheme="majorBidi" w:hAnsiTheme="majorBidi" w:cstheme="majorBidi"/>
          <w:b/>
          <w:bCs/>
          <w:sz w:val="24"/>
          <w:szCs w:val="24"/>
        </w:rPr>
        <w:t xml:space="preserve"> Aim: </w:t>
      </w:r>
      <w:r w:rsidRPr="006A47B7">
        <w:rPr>
          <w:rFonts w:asciiTheme="majorBidi" w:hAnsiTheme="majorBidi" w:cstheme="majorBidi"/>
          <w:sz w:val="24"/>
          <w:szCs w:val="24"/>
        </w:rPr>
        <w:t xml:space="preserve">to evaluate the role of ultrasound measurements of SVC Diameter and collapsibility index in comparison to CVP measurements in guiding fluid therapy in patients with hypovolemic shock. </w:t>
      </w:r>
      <w:r w:rsidRPr="006A47B7">
        <w:rPr>
          <w:rFonts w:asciiTheme="majorBidi" w:hAnsiTheme="majorBidi" w:cstheme="majorBidi"/>
          <w:b/>
          <w:bCs/>
          <w:sz w:val="24"/>
          <w:szCs w:val="24"/>
        </w:rPr>
        <w:t>Methodology: o</w:t>
      </w:r>
      <w:r w:rsidRPr="006A47B7">
        <w:rPr>
          <w:rFonts w:asciiTheme="majorBidi" w:hAnsiTheme="majorBidi" w:cstheme="majorBidi"/>
          <w:sz w:val="24"/>
          <w:szCs w:val="24"/>
        </w:rPr>
        <w:t xml:space="preserve">n admission hemodynamic monitoring of intravascular volume by CVP measurement,non invasive blood pressure measurement, urine output calculation were done, together with SVC ultrasound for measurement of diameter and collapsibility. </w:t>
      </w:r>
      <w:r w:rsidRPr="006A47B7">
        <w:rPr>
          <w:rFonts w:asciiTheme="majorBidi" w:hAnsiTheme="majorBidi" w:cstheme="majorBidi"/>
          <w:b/>
          <w:bCs/>
          <w:sz w:val="24"/>
          <w:szCs w:val="24"/>
        </w:rPr>
        <w:t xml:space="preserve">Results: </w:t>
      </w:r>
      <w:r w:rsidRPr="006A47B7">
        <w:rPr>
          <w:rFonts w:asciiTheme="majorBidi" w:hAnsiTheme="majorBidi" w:cstheme="majorBidi"/>
          <w:sz w:val="24"/>
          <w:szCs w:val="24"/>
        </w:rPr>
        <w:t xml:space="preserve">Patients with CVP equal or more than 10 was significantly associated with higher SVC max and SVC min, </w:t>
      </w:r>
      <w:r w:rsidR="00430E0A">
        <w:rPr>
          <w:rFonts w:asciiTheme="majorBidi" w:hAnsiTheme="majorBidi" w:cstheme="majorBidi"/>
          <w:sz w:val="24"/>
          <w:szCs w:val="24"/>
        </w:rPr>
        <w:t xml:space="preserve">lower </w:t>
      </w:r>
      <w:r w:rsidRPr="006A47B7">
        <w:rPr>
          <w:rFonts w:asciiTheme="majorBidi" w:hAnsiTheme="majorBidi" w:cstheme="majorBidi"/>
          <w:sz w:val="24"/>
          <w:szCs w:val="24"/>
        </w:rPr>
        <w:t xml:space="preserve"> SVC CI. CVP showed significant positive correlation with </w:t>
      </w:r>
      <w:proofErr w:type="spellStart"/>
      <w:r w:rsidRPr="006A47B7">
        <w:rPr>
          <w:rFonts w:asciiTheme="majorBidi" w:hAnsiTheme="majorBidi" w:cstheme="majorBidi"/>
          <w:sz w:val="24"/>
          <w:szCs w:val="24"/>
        </w:rPr>
        <w:t>dSCV</w:t>
      </w:r>
      <w:proofErr w:type="spellEnd"/>
      <w:r w:rsidRPr="006A47B7">
        <w:rPr>
          <w:rFonts w:asciiTheme="majorBidi" w:hAnsiTheme="majorBidi" w:cstheme="majorBidi"/>
          <w:sz w:val="24"/>
          <w:szCs w:val="24"/>
        </w:rPr>
        <w:t xml:space="preserve"> max, </w:t>
      </w:r>
      <w:proofErr w:type="spellStart"/>
      <w:r w:rsidRPr="006A47B7">
        <w:rPr>
          <w:rFonts w:asciiTheme="majorBidi" w:hAnsiTheme="majorBidi" w:cstheme="majorBidi"/>
          <w:sz w:val="24"/>
          <w:szCs w:val="24"/>
        </w:rPr>
        <w:t>dSVC</w:t>
      </w:r>
      <w:proofErr w:type="spellEnd"/>
      <w:r w:rsidRPr="006A47B7">
        <w:rPr>
          <w:rFonts w:asciiTheme="majorBidi" w:hAnsiTheme="majorBidi" w:cstheme="majorBidi"/>
          <w:sz w:val="24"/>
          <w:szCs w:val="24"/>
        </w:rPr>
        <w:t xml:space="preserve"> min, significant negative correlation with SVC-CI.</w:t>
      </w:r>
      <w:r w:rsidR="004C3D73">
        <w:rPr>
          <w:rFonts w:asciiTheme="majorBidi" w:hAnsiTheme="majorBidi" w:cstheme="majorBidi"/>
          <w:sz w:val="24"/>
          <w:szCs w:val="24"/>
        </w:rPr>
        <w:t xml:space="preserve"> </w:t>
      </w:r>
      <w:r w:rsidR="00430E0A" w:rsidRPr="006A47B7">
        <w:rPr>
          <w:rFonts w:asciiTheme="majorBidi" w:hAnsiTheme="majorBidi" w:cstheme="majorBidi"/>
          <w:sz w:val="24"/>
          <w:szCs w:val="24"/>
        </w:rPr>
        <w:t>The best cut-off point of the SVC-CI for discrimination between patients with CVP&lt;10 and patients with CVP≥10was 36.8% with</w:t>
      </w:r>
      <w:r w:rsidR="00430E0A">
        <w:rPr>
          <w:rFonts w:asciiTheme="majorBidi" w:hAnsiTheme="majorBidi" w:cstheme="majorBidi"/>
          <w:sz w:val="24"/>
          <w:szCs w:val="24"/>
        </w:rPr>
        <w:t xml:space="preserve"> s</w:t>
      </w:r>
      <w:r w:rsidR="00430E0A" w:rsidRPr="006A47B7">
        <w:rPr>
          <w:rFonts w:asciiTheme="majorBidi" w:hAnsiTheme="majorBidi" w:cstheme="majorBidi"/>
          <w:sz w:val="24"/>
          <w:szCs w:val="24"/>
        </w:rPr>
        <w:t>ensitivity</w:t>
      </w:r>
      <w:r w:rsidR="00430E0A">
        <w:rPr>
          <w:rFonts w:asciiTheme="majorBidi" w:hAnsiTheme="majorBidi" w:cstheme="majorBidi"/>
          <w:sz w:val="24"/>
          <w:szCs w:val="24"/>
        </w:rPr>
        <w:t xml:space="preserve"> of</w:t>
      </w:r>
      <w:r w:rsidR="00430E0A" w:rsidRPr="006A47B7">
        <w:rPr>
          <w:rFonts w:asciiTheme="majorBidi" w:hAnsiTheme="majorBidi" w:cstheme="majorBidi"/>
          <w:sz w:val="24"/>
          <w:szCs w:val="24"/>
        </w:rPr>
        <w:t xml:space="preserve"> 27.6% and </w:t>
      </w:r>
      <w:r w:rsidR="00430E0A">
        <w:rPr>
          <w:rFonts w:asciiTheme="majorBidi" w:hAnsiTheme="majorBidi" w:cstheme="majorBidi"/>
          <w:sz w:val="24"/>
          <w:szCs w:val="24"/>
        </w:rPr>
        <w:t>s</w:t>
      </w:r>
      <w:r w:rsidR="00430E0A" w:rsidRPr="006A47B7">
        <w:rPr>
          <w:rFonts w:asciiTheme="majorBidi" w:hAnsiTheme="majorBidi" w:cstheme="majorBidi"/>
          <w:sz w:val="24"/>
          <w:szCs w:val="24"/>
        </w:rPr>
        <w:t xml:space="preserve">pecificity </w:t>
      </w:r>
      <w:r w:rsidR="00430E0A">
        <w:rPr>
          <w:rFonts w:asciiTheme="majorBidi" w:hAnsiTheme="majorBidi" w:cstheme="majorBidi"/>
          <w:sz w:val="24"/>
          <w:szCs w:val="24"/>
        </w:rPr>
        <w:t>of 87.5%</w:t>
      </w:r>
      <w:r w:rsidR="00430E0A" w:rsidRPr="006A47B7">
        <w:rPr>
          <w:rFonts w:asciiTheme="majorBidi" w:hAnsiTheme="majorBidi" w:cstheme="majorBidi"/>
          <w:sz w:val="24"/>
          <w:szCs w:val="24"/>
        </w:rPr>
        <w:t xml:space="preserve">. lower SVC-CI </w:t>
      </w:r>
      <w:r w:rsidR="00430E0A">
        <w:rPr>
          <w:rFonts w:asciiTheme="majorBidi" w:hAnsiTheme="majorBidi" w:cstheme="majorBidi"/>
          <w:sz w:val="24"/>
          <w:szCs w:val="24"/>
        </w:rPr>
        <w:t xml:space="preserve">was </w:t>
      </w:r>
      <w:r w:rsidR="00430E0A" w:rsidRPr="006A47B7">
        <w:rPr>
          <w:rFonts w:asciiTheme="majorBidi" w:hAnsiTheme="majorBidi" w:cstheme="majorBidi"/>
          <w:sz w:val="24"/>
          <w:szCs w:val="24"/>
        </w:rPr>
        <w:t xml:space="preserve">considered </w:t>
      </w:r>
      <w:r w:rsidR="00430E0A">
        <w:rPr>
          <w:rFonts w:asciiTheme="majorBidi" w:hAnsiTheme="majorBidi" w:cstheme="majorBidi"/>
          <w:sz w:val="24"/>
          <w:szCs w:val="24"/>
        </w:rPr>
        <w:t xml:space="preserve">independent </w:t>
      </w:r>
      <w:r w:rsidR="00430E0A" w:rsidRPr="006A47B7">
        <w:rPr>
          <w:rFonts w:asciiTheme="majorBidi" w:hAnsiTheme="majorBidi" w:cstheme="majorBidi"/>
          <w:sz w:val="24"/>
          <w:szCs w:val="24"/>
        </w:rPr>
        <w:t>predictors for CVP≥10</w:t>
      </w:r>
      <w:r w:rsidR="00430E0A">
        <w:rPr>
          <w:rFonts w:asciiTheme="majorBidi" w:hAnsiTheme="majorBidi" w:cstheme="majorBidi"/>
          <w:sz w:val="24"/>
          <w:szCs w:val="24"/>
        </w:rPr>
        <w:t>, that help making decision to stop fluid infusion</w:t>
      </w:r>
      <w:r w:rsidR="004C3D73">
        <w:rPr>
          <w:rFonts w:asciiTheme="majorBidi" w:hAnsiTheme="majorBidi" w:cstheme="majorBidi"/>
          <w:sz w:val="24"/>
          <w:szCs w:val="24"/>
        </w:rPr>
        <w:t xml:space="preserve">. </w:t>
      </w:r>
      <w:r w:rsidRPr="006A47B7">
        <w:rPr>
          <w:rFonts w:asciiTheme="majorBidi" w:hAnsiTheme="majorBidi" w:cstheme="majorBidi"/>
          <w:b/>
          <w:bCs/>
          <w:sz w:val="24"/>
          <w:szCs w:val="24"/>
        </w:rPr>
        <w:t xml:space="preserve">Conclusion: </w:t>
      </w:r>
      <w:r w:rsidRPr="006A47B7">
        <w:rPr>
          <w:rFonts w:asciiTheme="majorBidi" w:hAnsiTheme="majorBidi" w:cstheme="majorBidi"/>
          <w:sz w:val="24"/>
          <w:szCs w:val="24"/>
        </w:rPr>
        <w:t>The CVP remains the most frequently used variable to guide fluid resuscitation in critically ill patients. SVC diameter and collapsibility with positive pressure ventilation is a poten</w:t>
      </w:r>
      <w:r w:rsidR="006A47B7">
        <w:rPr>
          <w:rFonts w:asciiTheme="majorBidi" w:hAnsiTheme="majorBidi" w:cstheme="majorBidi"/>
          <w:sz w:val="24"/>
          <w:szCs w:val="24"/>
        </w:rPr>
        <w:t>tially attractive method of non-</w:t>
      </w:r>
      <w:r w:rsidRPr="006A47B7">
        <w:rPr>
          <w:rFonts w:asciiTheme="majorBidi" w:hAnsiTheme="majorBidi" w:cstheme="majorBidi"/>
          <w:sz w:val="24"/>
          <w:szCs w:val="24"/>
        </w:rPr>
        <w:t xml:space="preserve">invasively estimating CVP. SVC-CI can be used as a predictor for </w:t>
      </w:r>
      <w:r w:rsidR="006A47B7">
        <w:rPr>
          <w:rFonts w:asciiTheme="majorBidi" w:hAnsiTheme="majorBidi" w:cstheme="majorBidi"/>
          <w:sz w:val="24"/>
          <w:szCs w:val="24"/>
        </w:rPr>
        <w:t xml:space="preserve">high </w:t>
      </w:r>
      <w:r w:rsidRPr="006A47B7">
        <w:rPr>
          <w:rFonts w:asciiTheme="majorBidi" w:hAnsiTheme="majorBidi" w:cstheme="majorBidi"/>
          <w:sz w:val="24"/>
          <w:szCs w:val="24"/>
        </w:rPr>
        <w:t>CVP measurement</w:t>
      </w:r>
      <w:r w:rsidR="006A47B7">
        <w:rPr>
          <w:rFonts w:asciiTheme="majorBidi" w:hAnsiTheme="majorBidi" w:cstheme="majorBidi"/>
          <w:sz w:val="24"/>
          <w:szCs w:val="24"/>
        </w:rPr>
        <w:t xml:space="preserve"> </w:t>
      </w:r>
      <w:r w:rsidR="006A47B7" w:rsidRPr="006A47B7">
        <w:rPr>
          <w:rFonts w:asciiTheme="majorBidi" w:hAnsiTheme="majorBidi" w:cstheme="majorBidi"/>
          <w:sz w:val="24"/>
          <w:szCs w:val="24"/>
        </w:rPr>
        <w:t xml:space="preserve"> </w:t>
      </w:r>
      <w:r w:rsidR="006A47B7">
        <w:rPr>
          <w:rFonts w:asciiTheme="majorBidi" w:hAnsiTheme="majorBidi" w:cstheme="majorBidi"/>
          <w:sz w:val="24"/>
          <w:szCs w:val="24"/>
        </w:rPr>
        <w:t xml:space="preserve">to make </w:t>
      </w:r>
      <w:r w:rsidR="004C3D73">
        <w:rPr>
          <w:rFonts w:asciiTheme="majorBidi" w:hAnsiTheme="majorBidi" w:cstheme="majorBidi"/>
          <w:sz w:val="24"/>
          <w:szCs w:val="24"/>
        </w:rPr>
        <w:t>decision</w:t>
      </w:r>
      <w:r w:rsidR="006A47B7" w:rsidRPr="006A47B7">
        <w:rPr>
          <w:rFonts w:asciiTheme="majorBidi" w:hAnsiTheme="majorBidi" w:cstheme="majorBidi"/>
          <w:sz w:val="24"/>
          <w:szCs w:val="24"/>
        </w:rPr>
        <w:t xml:space="preserve"> to stop fluid infusion</w:t>
      </w:r>
      <w:r w:rsidRPr="006A47B7">
        <w:rPr>
          <w:rFonts w:asciiTheme="majorBidi" w:hAnsiTheme="majorBidi" w:cstheme="majorBidi"/>
          <w:sz w:val="24"/>
          <w:szCs w:val="24"/>
        </w:rPr>
        <w:t>.</w:t>
      </w:r>
    </w:p>
    <w:p w14:paraId="4E315D81" w14:textId="77777777" w:rsidR="00B51B47" w:rsidRPr="006A47B7" w:rsidRDefault="005039D9" w:rsidP="00507FDA">
      <w:pPr>
        <w:spacing w:before="120" w:after="0" w:line="360" w:lineRule="auto"/>
        <w:jc w:val="both"/>
        <w:rPr>
          <w:rFonts w:asciiTheme="majorBidi" w:hAnsiTheme="majorBidi" w:cstheme="majorBidi"/>
          <w:sz w:val="24"/>
          <w:szCs w:val="24"/>
        </w:rPr>
      </w:pPr>
      <w:r w:rsidRPr="006A47B7">
        <w:rPr>
          <w:rFonts w:asciiTheme="majorBidi" w:hAnsiTheme="majorBidi" w:cstheme="majorBidi"/>
          <w:b/>
          <w:bCs/>
          <w:sz w:val="24"/>
          <w:szCs w:val="24"/>
        </w:rPr>
        <w:t>KEY WORDS</w:t>
      </w:r>
      <w:r w:rsidRPr="006A47B7">
        <w:rPr>
          <w:rFonts w:asciiTheme="majorBidi" w:hAnsiTheme="majorBidi" w:cstheme="majorBidi"/>
          <w:sz w:val="24"/>
          <w:szCs w:val="24"/>
        </w:rPr>
        <w:t>: Shock, hypovolemia,CVP, SVC, shock monitoring.</w:t>
      </w:r>
    </w:p>
    <w:p w14:paraId="56DCFF0B" w14:textId="77777777" w:rsidR="00B51B47" w:rsidRPr="006A47B7" w:rsidRDefault="00B51B47" w:rsidP="00507FDA">
      <w:pPr>
        <w:spacing w:before="120" w:after="0" w:line="360" w:lineRule="auto"/>
        <w:ind w:firstLine="720"/>
        <w:jc w:val="both"/>
        <w:rPr>
          <w:rFonts w:asciiTheme="majorBidi" w:hAnsiTheme="majorBidi" w:cstheme="majorBidi"/>
          <w:sz w:val="24"/>
          <w:szCs w:val="24"/>
        </w:rPr>
      </w:pPr>
    </w:p>
    <w:p w14:paraId="77313963" w14:textId="77777777" w:rsidR="005231E4" w:rsidRDefault="005231E4" w:rsidP="00507FDA">
      <w:pPr>
        <w:rPr>
          <w:rFonts w:asciiTheme="majorBidi" w:hAnsiTheme="majorBidi" w:cstheme="majorBidi"/>
          <w:b/>
          <w:bCs/>
          <w:sz w:val="24"/>
          <w:szCs w:val="24"/>
        </w:rPr>
      </w:pPr>
      <w:r>
        <w:rPr>
          <w:rFonts w:asciiTheme="majorBidi" w:hAnsiTheme="majorBidi" w:cstheme="majorBidi"/>
          <w:b/>
          <w:bCs/>
          <w:sz w:val="24"/>
          <w:szCs w:val="24"/>
        </w:rPr>
        <w:lastRenderedPageBreak/>
        <w:br w:type="page"/>
      </w:r>
    </w:p>
    <w:p w14:paraId="3673767D" w14:textId="77777777" w:rsidR="007F2F5B" w:rsidRDefault="007F2F5B" w:rsidP="00507FDA">
      <w:pPr>
        <w:spacing w:line="360" w:lineRule="auto"/>
        <w:rPr>
          <w:rFonts w:asciiTheme="majorBidi" w:hAnsiTheme="majorBidi" w:cstheme="majorBidi"/>
          <w:b/>
          <w:bCs/>
          <w:sz w:val="24"/>
          <w:szCs w:val="24"/>
        </w:rPr>
        <w:sectPr w:rsidR="007F2F5B">
          <w:pgSz w:w="12240" w:h="15840"/>
          <w:pgMar w:top="1440" w:right="1440" w:bottom="1440" w:left="1440" w:header="720" w:footer="720" w:gutter="0"/>
          <w:cols w:space="720"/>
          <w:docGrid w:linePitch="360"/>
        </w:sectPr>
      </w:pPr>
    </w:p>
    <w:p w14:paraId="06956611" w14:textId="77777777" w:rsidR="00B51B47" w:rsidRPr="006A47B7" w:rsidRDefault="005039D9" w:rsidP="00507FDA">
      <w:pPr>
        <w:spacing w:line="360" w:lineRule="auto"/>
        <w:rPr>
          <w:rFonts w:asciiTheme="majorBidi" w:hAnsiTheme="majorBidi" w:cstheme="majorBidi"/>
          <w:b/>
          <w:bCs/>
          <w:sz w:val="24"/>
          <w:szCs w:val="24"/>
        </w:rPr>
      </w:pPr>
      <w:r w:rsidRPr="006A47B7">
        <w:rPr>
          <w:rFonts w:asciiTheme="majorBidi" w:hAnsiTheme="majorBidi" w:cstheme="majorBidi"/>
          <w:b/>
          <w:bCs/>
          <w:sz w:val="24"/>
          <w:szCs w:val="24"/>
        </w:rPr>
        <w:lastRenderedPageBreak/>
        <w:t>Introduction</w:t>
      </w:r>
    </w:p>
    <w:p w14:paraId="2C7946AF" w14:textId="77777777" w:rsidR="00B51B47" w:rsidRPr="006A47B7" w:rsidRDefault="00B51B47" w:rsidP="00507FDA">
      <w:pPr>
        <w:spacing w:line="360" w:lineRule="auto"/>
        <w:jc w:val="both"/>
        <w:rPr>
          <w:rFonts w:asciiTheme="majorBidi" w:hAnsiTheme="majorBidi" w:cstheme="majorBidi"/>
          <w:sz w:val="24"/>
          <w:szCs w:val="24"/>
        </w:rPr>
        <w:sectPr w:rsidR="00B51B47" w:rsidRPr="006A47B7" w:rsidSect="007F2F5B">
          <w:type w:val="continuous"/>
          <w:pgSz w:w="12240" w:h="15840"/>
          <w:pgMar w:top="1440" w:right="1440" w:bottom="1440" w:left="1440" w:header="720" w:footer="720" w:gutter="0"/>
          <w:cols w:num="2" w:space="720"/>
          <w:docGrid w:linePitch="360"/>
        </w:sectPr>
      </w:pPr>
    </w:p>
    <w:p w14:paraId="43997D5E" w14:textId="77777777" w:rsidR="00D67FD6" w:rsidRPr="006A47B7" w:rsidRDefault="005039D9" w:rsidP="00373AED">
      <w:pPr>
        <w:spacing w:beforeLines="160" w:before="384" w:afterLines="160" w:after="384"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Shock is a life-threatening manifestation of circulatory failure.  </w:t>
      </w:r>
      <w:r w:rsidRPr="006A47B7">
        <w:rPr>
          <w:rFonts w:asciiTheme="majorBidi" w:hAnsiTheme="majorBidi" w:cstheme="majorBidi"/>
          <w:b/>
          <w:bCs/>
          <w:i/>
          <w:iCs/>
          <w:sz w:val="24"/>
          <w:szCs w:val="24"/>
        </w:rPr>
        <w:t xml:space="preserve">(1). </w:t>
      </w:r>
      <w:r w:rsidRPr="006A47B7">
        <w:rPr>
          <w:rFonts w:asciiTheme="majorBidi" w:hAnsiTheme="majorBidi" w:cstheme="majorBidi"/>
          <w:sz w:val="24"/>
          <w:szCs w:val="24"/>
        </w:rPr>
        <w:t xml:space="preserve"> There are mainly four broad categories of shock: distributive, hypovolemic, cardiogenic, and obstructive. Undifferentiated shock means that the diagnosis of shock has been made; however,</w:t>
      </w:r>
      <w:r w:rsidRPr="006A47B7">
        <w:rPr>
          <w:rFonts w:asciiTheme="majorBidi" w:hAnsiTheme="majorBidi" w:cstheme="majorBidi"/>
          <w:b/>
          <w:bCs/>
          <w:sz w:val="24"/>
          <w:szCs w:val="24"/>
        </w:rPr>
        <w:t xml:space="preserve"> </w:t>
      </w:r>
      <w:r w:rsidRPr="006A47B7">
        <w:rPr>
          <w:rFonts w:asciiTheme="majorBidi" w:hAnsiTheme="majorBidi" w:cstheme="majorBidi"/>
          <w:sz w:val="24"/>
          <w:szCs w:val="24"/>
        </w:rPr>
        <w:t xml:space="preserve">the underlying etiology has not been uncovered </w:t>
      </w:r>
      <w:r w:rsidRPr="006A47B7">
        <w:rPr>
          <w:rFonts w:asciiTheme="majorBidi" w:hAnsiTheme="majorBidi" w:cstheme="majorBidi"/>
          <w:b/>
          <w:bCs/>
          <w:i/>
          <w:iCs/>
          <w:sz w:val="24"/>
          <w:szCs w:val="24"/>
        </w:rPr>
        <w:t xml:space="preserve">(2). </w:t>
      </w:r>
      <w:r w:rsidRPr="006A47B7">
        <w:rPr>
          <w:rFonts w:asciiTheme="majorBidi" w:hAnsiTheme="majorBidi" w:cstheme="majorBidi"/>
          <w:sz w:val="24"/>
          <w:szCs w:val="24"/>
        </w:rPr>
        <w:t xml:space="preserve">Patients with hypovolemic shock have severe hypovolemia with decreased peripheral perfusion. If left untreated, these patients can develop ischemic injury of vital organs, leading to multi-system organ failure </w:t>
      </w:r>
      <w:r w:rsidRPr="006A47B7">
        <w:rPr>
          <w:rFonts w:asciiTheme="majorBidi" w:hAnsiTheme="majorBidi" w:cstheme="majorBidi"/>
          <w:b/>
          <w:bCs/>
          <w:i/>
          <w:iCs/>
          <w:sz w:val="24"/>
          <w:szCs w:val="24"/>
        </w:rPr>
        <w:t xml:space="preserve">(3). </w:t>
      </w:r>
      <w:r w:rsidRPr="006A47B7">
        <w:rPr>
          <w:rFonts w:asciiTheme="majorBidi" w:hAnsiTheme="majorBidi" w:cstheme="majorBidi"/>
          <w:sz w:val="24"/>
          <w:szCs w:val="24"/>
        </w:rPr>
        <w:t xml:space="preserve">Hypovolemic shock is the most common type of shock in children, most commonly due to diarrheal illness in the developing world. </w:t>
      </w:r>
      <w:r w:rsidRPr="006A47B7">
        <w:rPr>
          <w:rFonts w:asciiTheme="majorBidi" w:hAnsiTheme="majorBidi" w:cstheme="majorBidi"/>
          <w:b/>
          <w:bCs/>
          <w:i/>
          <w:iCs/>
          <w:sz w:val="24"/>
          <w:szCs w:val="24"/>
        </w:rPr>
        <w:t xml:space="preserve">(4). </w:t>
      </w:r>
      <w:r w:rsidRPr="006A47B7">
        <w:rPr>
          <w:rFonts w:asciiTheme="majorBidi" w:hAnsiTheme="majorBidi" w:cstheme="majorBidi"/>
          <w:sz w:val="24"/>
          <w:szCs w:val="24"/>
        </w:rPr>
        <w:t xml:space="preserve">Severe hypovolemic shock can result in mesenteric and coronary ischemia that can cause abdominal or chest pain. </w:t>
      </w:r>
      <w:r w:rsidRPr="006A47B7">
        <w:rPr>
          <w:rFonts w:asciiTheme="majorBidi" w:hAnsiTheme="majorBidi" w:cstheme="majorBidi"/>
          <w:b/>
          <w:bCs/>
          <w:i/>
          <w:iCs/>
          <w:color w:val="303030"/>
          <w:sz w:val="24"/>
          <w:szCs w:val="24"/>
          <w:shd w:val="clear" w:color="FFFFFF" w:fill="FFFFFF"/>
        </w:rPr>
        <w:t>(5</w:t>
      </w:r>
      <w:r w:rsidRPr="006A47B7">
        <w:rPr>
          <w:rFonts w:asciiTheme="majorBidi" w:hAnsiTheme="majorBidi" w:cstheme="majorBidi"/>
          <w:b/>
          <w:bCs/>
          <w:i/>
          <w:iCs/>
          <w:sz w:val="24"/>
          <w:szCs w:val="24"/>
        </w:rPr>
        <w:t xml:space="preserve">). </w:t>
      </w:r>
      <w:r w:rsidRPr="006A47B7">
        <w:rPr>
          <w:rFonts w:asciiTheme="majorBidi" w:hAnsiTheme="majorBidi" w:cstheme="majorBidi"/>
          <w:sz w:val="24"/>
          <w:szCs w:val="24"/>
        </w:rPr>
        <w:t xml:space="preserve">Various laboratory values can be abnormal in hypovolemic shock. </w:t>
      </w:r>
      <w:r w:rsidRPr="006A47B7">
        <w:rPr>
          <w:rFonts w:asciiTheme="majorBidi" w:hAnsiTheme="majorBidi" w:cstheme="majorBidi"/>
          <w:b/>
          <w:bCs/>
          <w:i/>
          <w:iCs/>
          <w:sz w:val="24"/>
          <w:szCs w:val="24"/>
        </w:rPr>
        <w:t xml:space="preserve">(6). </w:t>
      </w:r>
      <w:r w:rsidRPr="006A47B7">
        <w:rPr>
          <w:rFonts w:asciiTheme="majorBidi" w:hAnsiTheme="majorBidi" w:cstheme="majorBidi"/>
          <w:sz w:val="24"/>
          <w:szCs w:val="24"/>
        </w:rPr>
        <w:t xml:space="preserve">Central venous pressure (CVP): is often used to assess volume status </w:t>
      </w:r>
      <w:r w:rsidRPr="006A47B7">
        <w:rPr>
          <w:rFonts w:asciiTheme="majorBidi" w:hAnsiTheme="majorBidi" w:cstheme="majorBidi"/>
          <w:b/>
          <w:bCs/>
          <w:i/>
          <w:iCs/>
          <w:sz w:val="24"/>
          <w:szCs w:val="24"/>
        </w:rPr>
        <w:t xml:space="preserve">(5). </w:t>
      </w:r>
      <w:r w:rsidRPr="006A47B7">
        <w:rPr>
          <w:rFonts w:asciiTheme="majorBidi" w:hAnsiTheme="majorBidi" w:cstheme="majorBidi"/>
          <w:sz w:val="24"/>
          <w:szCs w:val="24"/>
        </w:rPr>
        <w:t xml:space="preserve"> CVP can be estimated by assessing the inferior vena cava or internal jugular vein diameter and collapsibility </w:t>
      </w:r>
      <w:r w:rsidRPr="006A47B7">
        <w:rPr>
          <w:rFonts w:asciiTheme="majorBidi" w:hAnsiTheme="majorBidi" w:cstheme="majorBidi"/>
          <w:b/>
          <w:bCs/>
          <w:i/>
          <w:iCs/>
          <w:sz w:val="24"/>
          <w:szCs w:val="24"/>
        </w:rPr>
        <w:t xml:space="preserve">(7). </w:t>
      </w:r>
      <w:r w:rsidRPr="006A47B7">
        <w:rPr>
          <w:rFonts w:asciiTheme="majorBidi" w:hAnsiTheme="majorBidi" w:cstheme="majorBidi"/>
          <w:sz w:val="24"/>
          <w:szCs w:val="24"/>
        </w:rPr>
        <w:t xml:space="preserve">For patients in hemorrhagic shock, early use of blood products over crystalloid resuscitation results in better outcomes. Anti-fibrinolytic administration to patients </w:t>
      </w:r>
      <w:r w:rsidRPr="006A47B7">
        <w:rPr>
          <w:rFonts w:asciiTheme="majorBidi" w:hAnsiTheme="majorBidi" w:cstheme="majorBidi"/>
          <w:sz w:val="24"/>
          <w:szCs w:val="24"/>
        </w:rPr>
        <w:t xml:space="preserve">with severe bleed appears to decrease death </w:t>
      </w:r>
      <w:r w:rsidRPr="006A47B7">
        <w:rPr>
          <w:rFonts w:asciiTheme="majorBidi" w:hAnsiTheme="majorBidi" w:cstheme="majorBidi"/>
          <w:b/>
          <w:bCs/>
          <w:i/>
          <w:iCs/>
          <w:sz w:val="24"/>
          <w:szCs w:val="24"/>
        </w:rPr>
        <w:t xml:space="preserve">(8). </w:t>
      </w:r>
      <w:r w:rsidRPr="006A47B7">
        <w:rPr>
          <w:rFonts w:asciiTheme="majorBidi" w:hAnsiTheme="majorBidi" w:cstheme="majorBidi"/>
          <w:sz w:val="24"/>
          <w:szCs w:val="24"/>
        </w:rPr>
        <w:t xml:space="preserve">For patients in hypovolemic shock due to fluid losses, the exact fluid deficit cannot be determined. Therefore, it is prudent to start with 2 liters of isotonic crystalloid solution infused rapidly as an attempt to quickly restore tissue perfusion </w:t>
      </w:r>
      <w:r w:rsidRPr="006A47B7">
        <w:rPr>
          <w:rFonts w:asciiTheme="majorBidi" w:hAnsiTheme="majorBidi" w:cstheme="majorBidi"/>
          <w:b/>
          <w:bCs/>
          <w:i/>
          <w:iCs/>
          <w:sz w:val="24"/>
          <w:szCs w:val="24"/>
        </w:rPr>
        <w:t xml:space="preserve">(9). </w:t>
      </w:r>
      <w:r w:rsidRPr="006A47B7">
        <w:rPr>
          <w:rFonts w:asciiTheme="majorBidi" w:hAnsiTheme="majorBidi" w:cstheme="majorBidi"/>
          <w:sz w:val="24"/>
          <w:szCs w:val="24"/>
        </w:rPr>
        <w:t xml:space="preserve">The </w:t>
      </w:r>
      <w:r w:rsidR="00803E94">
        <w:rPr>
          <w:rFonts w:asciiTheme="majorBidi" w:hAnsiTheme="majorBidi" w:cstheme="majorBidi"/>
          <w:sz w:val="24"/>
          <w:szCs w:val="24"/>
        </w:rPr>
        <w:t xml:space="preserve">CVP </w:t>
      </w:r>
      <w:r w:rsidRPr="006A47B7">
        <w:rPr>
          <w:rFonts w:asciiTheme="majorBidi" w:hAnsiTheme="majorBidi" w:cstheme="majorBidi"/>
          <w:sz w:val="24"/>
          <w:szCs w:val="24"/>
        </w:rPr>
        <w:t xml:space="preserve">can be measured using a central venous catheter advanced via the internal jugular vein and placed in the superior vena cava </w:t>
      </w:r>
      <w:r w:rsidR="00422DD0">
        <w:rPr>
          <w:rFonts w:asciiTheme="majorBidi" w:hAnsiTheme="majorBidi" w:cstheme="majorBidi"/>
          <w:sz w:val="24"/>
          <w:szCs w:val="24"/>
        </w:rPr>
        <w:t xml:space="preserve">(SVC) </w:t>
      </w:r>
      <w:r w:rsidR="002E3F75">
        <w:rPr>
          <w:rFonts w:asciiTheme="majorBidi" w:hAnsiTheme="majorBidi" w:cstheme="majorBidi"/>
          <w:sz w:val="24"/>
          <w:szCs w:val="24"/>
        </w:rPr>
        <w:t xml:space="preserve">near the right atrium </w:t>
      </w:r>
      <w:r w:rsidRPr="006A47B7">
        <w:rPr>
          <w:rFonts w:asciiTheme="majorBidi" w:hAnsiTheme="majorBidi" w:cstheme="majorBidi"/>
          <w:b/>
          <w:bCs/>
          <w:i/>
          <w:iCs/>
          <w:sz w:val="24"/>
          <w:szCs w:val="24"/>
        </w:rPr>
        <w:t xml:space="preserve">(10). </w:t>
      </w:r>
      <w:r w:rsidRPr="006A47B7">
        <w:rPr>
          <w:rFonts w:asciiTheme="majorBidi" w:hAnsiTheme="majorBidi" w:cstheme="majorBidi"/>
          <w:sz w:val="24"/>
          <w:szCs w:val="24"/>
        </w:rPr>
        <w:t xml:space="preserve">CVP was found to be a poor predictor of fluid responsiveness. Accurate measurements of the </w:t>
      </w:r>
      <w:r w:rsidR="00491045">
        <w:rPr>
          <w:rFonts w:asciiTheme="majorBidi" w:hAnsiTheme="majorBidi" w:cstheme="majorBidi"/>
          <w:sz w:val="24"/>
          <w:szCs w:val="24"/>
        </w:rPr>
        <w:t xml:space="preserve">CVP </w:t>
      </w:r>
      <w:r w:rsidRPr="006A47B7">
        <w:rPr>
          <w:rFonts w:asciiTheme="majorBidi" w:hAnsiTheme="majorBidi" w:cstheme="majorBidi"/>
          <w:sz w:val="24"/>
          <w:szCs w:val="24"/>
        </w:rPr>
        <w:t>were also challenged. (</w:t>
      </w:r>
      <w:r w:rsidRPr="006A47B7">
        <w:rPr>
          <w:rFonts w:asciiTheme="majorBidi" w:hAnsiTheme="majorBidi" w:cstheme="majorBidi"/>
          <w:b/>
          <w:bCs/>
          <w:i/>
          <w:iCs/>
          <w:sz w:val="24"/>
          <w:szCs w:val="24"/>
        </w:rPr>
        <w:t xml:space="preserve">11). </w:t>
      </w:r>
      <w:r w:rsidRPr="00612339">
        <w:rPr>
          <w:rFonts w:asciiTheme="majorBidi" w:hAnsiTheme="majorBidi" w:cstheme="majorBidi"/>
          <w:sz w:val="24"/>
          <w:szCs w:val="24"/>
        </w:rPr>
        <w:t>So</w:t>
      </w:r>
      <w:r w:rsidRPr="006A47B7">
        <w:rPr>
          <w:rFonts w:asciiTheme="majorBidi" w:hAnsiTheme="majorBidi" w:cstheme="majorBidi"/>
          <w:sz w:val="24"/>
          <w:szCs w:val="24"/>
        </w:rPr>
        <w:t xml:space="preserve">me factors that can decrease </w:t>
      </w:r>
      <w:r w:rsidR="003D378A">
        <w:rPr>
          <w:rFonts w:asciiTheme="majorBidi" w:hAnsiTheme="majorBidi" w:cstheme="majorBidi"/>
          <w:sz w:val="24"/>
          <w:szCs w:val="24"/>
        </w:rPr>
        <w:t xml:space="preserve">CVP </w:t>
      </w:r>
      <w:r w:rsidRPr="006A47B7">
        <w:rPr>
          <w:rFonts w:asciiTheme="majorBidi" w:hAnsiTheme="majorBidi" w:cstheme="majorBidi"/>
          <w:sz w:val="24"/>
          <w:szCs w:val="24"/>
        </w:rPr>
        <w:t xml:space="preserve">are hypovolemia or vasodilation. Either of these would decrease venous return and thus decrease the central venous pressure.  </w:t>
      </w:r>
      <w:r w:rsidRPr="006A47B7">
        <w:rPr>
          <w:rFonts w:asciiTheme="majorBidi" w:hAnsiTheme="majorBidi" w:cstheme="majorBidi"/>
          <w:b/>
          <w:bCs/>
          <w:i/>
          <w:iCs/>
          <w:sz w:val="24"/>
          <w:szCs w:val="24"/>
        </w:rPr>
        <w:t xml:space="preserve">(12). </w:t>
      </w:r>
      <w:r w:rsidRPr="006A47B7">
        <w:rPr>
          <w:rFonts w:asciiTheme="majorBidi" w:hAnsiTheme="majorBidi" w:cstheme="majorBidi"/>
          <w:sz w:val="24"/>
          <w:szCs w:val="24"/>
        </w:rPr>
        <w:t xml:space="preserve">Elevated CVP can occur in heart failure due to decreased contractility, valve abnormalities, and dysrhythmias. Any patients on ventilator assistance that have excessive positive end-expiratory pressure would have an increase in pulmonary arterial resistance which causes an increase in CVP </w:t>
      </w:r>
      <w:r w:rsidRPr="006A47B7">
        <w:rPr>
          <w:rFonts w:asciiTheme="majorBidi" w:hAnsiTheme="majorBidi" w:cstheme="majorBidi"/>
          <w:b/>
          <w:bCs/>
          <w:i/>
          <w:iCs/>
          <w:sz w:val="24"/>
          <w:szCs w:val="24"/>
        </w:rPr>
        <w:t xml:space="preserve">(13). </w:t>
      </w:r>
      <w:r w:rsidRPr="006A47B7">
        <w:rPr>
          <w:rFonts w:asciiTheme="majorBidi" w:hAnsiTheme="majorBidi" w:cstheme="majorBidi"/>
          <w:sz w:val="24"/>
          <w:szCs w:val="24"/>
        </w:rPr>
        <w:t xml:space="preserve">Clinical utility of the </w:t>
      </w:r>
      <w:r w:rsidR="003D378A">
        <w:rPr>
          <w:rFonts w:asciiTheme="majorBidi" w:hAnsiTheme="majorBidi" w:cstheme="majorBidi"/>
          <w:sz w:val="24"/>
          <w:szCs w:val="24"/>
        </w:rPr>
        <w:t xml:space="preserve">CVP </w:t>
      </w:r>
      <w:r w:rsidRPr="006A47B7">
        <w:rPr>
          <w:rFonts w:asciiTheme="majorBidi" w:hAnsiTheme="majorBidi" w:cstheme="majorBidi"/>
          <w:sz w:val="24"/>
          <w:szCs w:val="24"/>
        </w:rPr>
        <w:t>can be seen in the assessme</w:t>
      </w:r>
      <w:r w:rsidR="00373AED">
        <w:rPr>
          <w:rFonts w:asciiTheme="majorBidi" w:hAnsiTheme="majorBidi" w:cstheme="majorBidi"/>
          <w:sz w:val="24"/>
          <w:szCs w:val="24"/>
        </w:rPr>
        <w:t xml:space="preserve">nt of cardiocirculatory status </w:t>
      </w:r>
      <w:r w:rsidRPr="006A47B7">
        <w:rPr>
          <w:rFonts w:asciiTheme="majorBidi" w:hAnsiTheme="majorBidi" w:cstheme="majorBidi"/>
          <w:b/>
          <w:bCs/>
          <w:i/>
          <w:iCs/>
          <w:sz w:val="24"/>
          <w:szCs w:val="24"/>
        </w:rPr>
        <w:t xml:space="preserve">(14). </w:t>
      </w:r>
      <w:r w:rsidRPr="006A47B7">
        <w:rPr>
          <w:rFonts w:asciiTheme="majorBidi" w:hAnsiTheme="majorBidi" w:cstheme="majorBidi"/>
          <w:sz w:val="24"/>
          <w:szCs w:val="24"/>
        </w:rPr>
        <w:t xml:space="preserve">The easy determination of the CVP makes it a clinically attractive, albeit non-specific, </w:t>
      </w:r>
      <w:r w:rsidRPr="006A47B7">
        <w:rPr>
          <w:rFonts w:asciiTheme="majorBidi" w:hAnsiTheme="majorBidi" w:cstheme="majorBidi"/>
          <w:sz w:val="24"/>
          <w:szCs w:val="24"/>
        </w:rPr>
        <w:lastRenderedPageBreak/>
        <w:t>indicator of fluid status. As such, other indices, such as the inferior vena cava collapsibility index (IVC CI) must be used adjunctively for more accurate assessment of volume status</w:t>
      </w:r>
      <w:r w:rsidR="005D1FF4">
        <w:rPr>
          <w:rFonts w:asciiTheme="majorBidi" w:hAnsiTheme="majorBidi" w:cstheme="majorBidi"/>
          <w:sz w:val="24"/>
          <w:szCs w:val="24"/>
        </w:rPr>
        <w:t xml:space="preserve"> </w:t>
      </w:r>
      <w:r w:rsidR="005D1FF4" w:rsidRPr="006A47B7">
        <w:rPr>
          <w:rFonts w:asciiTheme="majorBidi" w:hAnsiTheme="majorBidi" w:cstheme="majorBidi"/>
          <w:b/>
          <w:bCs/>
          <w:i/>
          <w:iCs/>
          <w:sz w:val="24"/>
          <w:szCs w:val="24"/>
        </w:rPr>
        <w:t>(15).</w:t>
      </w:r>
      <w:r w:rsidRPr="006A47B7">
        <w:rPr>
          <w:rFonts w:asciiTheme="majorBidi" w:hAnsiTheme="majorBidi" w:cstheme="majorBidi"/>
          <w:sz w:val="24"/>
          <w:szCs w:val="24"/>
        </w:rPr>
        <w:t xml:space="preserve"> CVP can be indirectly measured by the clinical assessment of jugular venous pressure or on ultrasound evaluation of the inferior vena cava (IVC). It can be measured directly via a simple manometer attached to a central venous catheter. The transducer should be aligned with the patient’s mid chest at the mid-axillary line, at the level of the left atrium. A common pitfall in CVP measurement is not accounting for the effect of positive end expiratory pressure (PEEP) with positive pressure ventilation. PEEP may have direct effects on cardiac preload, afterload, and ventricular compliance. PEEP can falsely elevate CVP measurements depending on pulmonary compliance and intrathoracic cavity pressure swings by creating resistance to flow </w:t>
      </w:r>
      <w:r w:rsidRPr="006A47B7">
        <w:rPr>
          <w:rFonts w:asciiTheme="majorBidi" w:hAnsiTheme="majorBidi" w:cstheme="majorBidi"/>
          <w:b/>
          <w:bCs/>
          <w:i/>
          <w:iCs/>
          <w:sz w:val="24"/>
          <w:szCs w:val="24"/>
        </w:rPr>
        <w:t xml:space="preserve">(16). </w:t>
      </w:r>
      <w:r w:rsidRPr="006A47B7">
        <w:rPr>
          <w:rFonts w:asciiTheme="majorBidi" w:hAnsiTheme="majorBidi" w:cstheme="majorBidi"/>
          <w:sz w:val="24"/>
          <w:szCs w:val="24"/>
        </w:rPr>
        <w:t xml:space="preserve">The </w:t>
      </w:r>
      <w:r w:rsidR="005D1FF4">
        <w:rPr>
          <w:rFonts w:asciiTheme="majorBidi" w:hAnsiTheme="majorBidi" w:cstheme="majorBidi"/>
          <w:sz w:val="24"/>
          <w:szCs w:val="24"/>
        </w:rPr>
        <w:t>SVC</w:t>
      </w:r>
      <w:r w:rsidRPr="006A47B7">
        <w:rPr>
          <w:rFonts w:asciiTheme="majorBidi" w:hAnsiTheme="majorBidi" w:cstheme="majorBidi"/>
          <w:sz w:val="24"/>
          <w:szCs w:val="24"/>
        </w:rPr>
        <w:t xml:space="preserve"> is a commonly used site for central venous access </w:t>
      </w:r>
      <w:r w:rsidRPr="006A47B7">
        <w:rPr>
          <w:rFonts w:asciiTheme="majorBidi" w:hAnsiTheme="majorBidi" w:cstheme="majorBidi"/>
          <w:b/>
          <w:bCs/>
          <w:i/>
          <w:iCs/>
          <w:sz w:val="24"/>
          <w:szCs w:val="24"/>
        </w:rPr>
        <w:t xml:space="preserve">(17). </w:t>
      </w:r>
      <w:r w:rsidRPr="006A47B7">
        <w:rPr>
          <w:rFonts w:asciiTheme="majorBidi" w:hAnsiTheme="majorBidi" w:cstheme="majorBidi"/>
          <w:sz w:val="24"/>
          <w:szCs w:val="24"/>
        </w:rPr>
        <w:t xml:space="preserve">The latest multicentral retrospective study demonstrated that inappropriate fluid administration is correlated with increase in postoperative complications. Thus, excessive fluid infusion may increase the risk of pulmonary and peripheral tissue edema retarding the recovery of respiratory </w:t>
      </w:r>
      <w:r w:rsidRPr="006A47B7">
        <w:rPr>
          <w:rFonts w:asciiTheme="majorBidi" w:hAnsiTheme="majorBidi" w:cstheme="majorBidi"/>
          <w:sz w:val="24"/>
          <w:szCs w:val="24"/>
        </w:rPr>
        <w:t xml:space="preserve">and intestinal function, while the conservative fluid therapy may induce an unstable hemodynamic profile, multiorgan hypoperfusion, and prolonged hospital stay </w:t>
      </w:r>
      <w:r w:rsidRPr="006A47B7">
        <w:rPr>
          <w:rFonts w:asciiTheme="majorBidi" w:hAnsiTheme="majorBidi" w:cstheme="majorBidi"/>
          <w:b/>
          <w:bCs/>
          <w:i/>
          <w:iCs/>
          <w:sz w:val="24"/>
          <w:szCs w:val="24"/>
        </w:rPr>
        <w:t xml:space="preserve">(18). </w:t>
      </w:r>
      <w:r w:rsidRPr="006A47B7">
        <w:rPr>
          <w:rFonts w:asciiTheme="majorBidi" w:hAnsiTheme="majorBidi" w:cstheme="majorBidi"/>
          <w:color w:val="000000"/>
          <w:sz w:val="24"/>
          <w:szCs w:val="24"/>
        </w:rPr>
        <w:t xml:space="preserve">Traditional static hemodynamic parameters, such as </w:t>
      </w:r>
      <w:r w:rsidR="0093347F">
        <w:rPr>
          <w:rFonts w:asciiTheme="majorBidi" w:hAnsiTheme="majorBidi" w:cstheme="majorBidi"/>
          <w:color w:val="000000"/>
          <w:sz w:val="24"/>
          <w:szCs w:val="24"/>
        </w:rPr>
        <w:t>CVP</w:t>
      </w:r>
      <w:r w:rsidRPr="006A47B7">
        <w:rPr>
          <w:rFonts w:asciiTheme="majorBidi" w:hAnsiTheme="majorBidi" w:cstheme="majorBidi"/>
          <w:color w:val="000000"/>
          <w:sz w:val="24"/>
          <w:szCs w:val="24"/>
        </w:rPr>
        <w:t xml:space="preserve"> and pulmonary capillary wedge pressure, have shown little value in guiding volume expansion. In addition, although widely used and accepted as robust indicators to predict preload responsiveness in mechanically ventilated patients, the dynamic indices of stroke volume variation (SVV) </w:t>
      </w:r>
      <w:r w:rsidR="0093347F">
        <w:rPr>
          <w:rFonts w:asciiTheme="majorBidi" w:hAnsiTheme="majorBidi" w:cstheme="majorBidi"/>
          <w:b/>
          <w:bCs/>
          <w:i/>
          <w:iCs/>
          <w:color w:val="000000"/>
          <w:sz w:val="24"/>
          <w:szCs w:val="24"/>
        </w:rPr>
        <w:t>(19),</w:t>
      </w:r>
      <w:r w:rsidRPr="006A47B7">
        <w:rPr>
          <w:rFonts w:asciiTheme="majorBidi" w:hAnsiTheme="majorBidi" w:cstheme="majorBidi"/>
          <w:color w:val="000000"/>
          <w:sz w:val="24"/>
          <w:szCs w:val="24"/>
        </w:rPr>
        <w:t xml:space="preserve"> or pulse pressure variation (PPV) </w:t>
      </w:r>
      <w:r w:rsidRPr="006A47B7">
        <w:rPr>
          <w:rFonts w:asciiTheme="majorBidi" w:hAnsiTheme="majorBidi" w:cstheme="majorBidi"/>
          <w:b/>
          <w:bCs/>
          <w:i/>
          <w:iCs/>
          <w:color w:val="000000"/>
          <w:sz w:val="24"/>
          <w:szCs w:val="24"/>
        </w:rPr>
        <w:t xml:space="preserve">(20) </w:t>
      </w:r>
      <w:r w:rsidRPr="006A47B7">
        <w:rPr>
          <w:rFonts w:asciiTheme="majorBidi" w:hAnsiTheme="majorBidi" w:cstheme="majorBidi"/>
          <w:color w:val="000000"/>
          <w:sz w:val="24"/>
          <w:szCs w:val="24"/>
        </w:rPr>
        <w:t xml:space="preserve">require a costly sophisticated device or invasive catheterization With the increasing accessibility of ultrasound devices in perioperative settings, ultrasonography has been recommended for volume assessment due to its advantage in noninvasiveness, repeatability, and short learning curve </w:t>
      </w:r>
      <w:r w:rsidRPr="006A47B7">
        <w:rPr>
          <w:rFonts w:asciiTheme="majorBidi" w:hAnsiTheme="majorBidi" w:cstheme="majorBidi"/>
          <w:b/>
          <w:bCs/>
          <w:i/>
          <w:iCs/>
          <w:color w:val="000000"/>
          <w:sz w:val="24"/>
          <w:szCs w:val="24"/>
        </w:rPr>
        <w:t xml:space="preserve">(21). </w:t>
      </w:r>
      <w:r w:rsidRPr="006A47B7">
        <w:rPr>
          <w:rFonts w:asciiTheme="majorBidi" w:hAnsiTheme="majorBidi" w:cstheme="majorBidi"/>
          <w:color w:val="000000"/>
          <w:sz w:val="24"/>
          <w:szCs w:val="24"/>
        </w:rPr>
        <w:t xml:space="preserve">Among these echocardiographic variables, superior vena cava (SVC) collapsibility index (SVCCI), and SVC variation over the cardiac cycle (SVCV) have shown promising results in mechanically ventilated patients, but SVC measurements required transesophageal echocardiography (TEE) technique, which currently limited its routine clinical application </w:t>
      </w:r>
      <w:r w:rsidRPr="006A47B7">
        <w:rPr>
          <w:rFonts w:asciiTheme="majorBidi" w:hAnsiTheme="majorBidi" w:cstheme="majorBidi"/>
          <w:b/>
          <w:bCs/>
          <w:i/>
          <w:iCs/>
          <w:color w:val="000000"/>
          <w:sz w:val="24"/>
          <w:szCs w:val="24"/>
        </w:rPr>
        <w:t xml:space="preserve">(22). </w:t>
      </w:r>
      <w:r w:rsidRPr="006A47B7">
        <w:rPr>
          <w:rFonts w:asciiTheme="majorBidi" w:hAnsiTheme="majorBidi" w:cstheme="majorBidi"/>
          <w:color w:val="000000"/>
          <w:sz w:val="24"/>
          <w:szCs w:val="24"/>
        </w:rPr>
        <w:t xml:space="preserve">With the introduction of SVC acquisition through </w:t>
      </w:r>
      <w:r w:rsidRPr="006A47B7">
        <w:rPr>
          <w:rFonts w:asciiTheme="majorBidi" w:hAnsiTheme="majorBidi" w:cstheme="majorBidi"/>
          <w:color w:val="000000"/>
          <w:sz w:val="24"/>
          <w:szCs w:val="24"/>
        </w:rPr>
        <w:lastRenderedPageBreak/>
        <w:t xml:space="preserve">transthoracic echocardiography (TTE) approach, it is, therefore, possible to determine volume responsiveness by measuring SVC variation using a noninvasive approach </w:t>
      </w:r>
      <w:r w:rsidRPr="006A47B7">
        <w:rPr>
          <w:rFonts w:asciiTheme="majorBidi" w:hAnsiTheme="majorBidi" w:cstheme="majorBidi"/>
          <w:b/>
          <w:bCs/>
          <w:i/>
          <w:iCs/>
          <w:color w:val="000000"/>
          <w:sz w:val="24"/>
          <w:szCs w:val="24"/>
        </w:rPr>
        <w:t xml:space="preserve">(23). </w:t>
      </w:r>
      <w:r w:rsidRPr="006A47B7">
        <w:rPr>
          <w:rFonts w:asciiTheme="majorBidi" w:hAnsiTheme="majorBidi" w:cstheme="majorBidi"/>
          <w:color w:val="000000"/>
          <w:sz w:val="24"/>
          <w:szCs w:val="24"/>
        </w:rPr>
        <w:t xml:space="preserve">Evaluation of the </w:t>
      </w:r>
      <w:r w:rsidR="0093347F">
        <w:rPr>
          <w:rFonts w:asciiTheme="majorBidi" w:hAnsiTheme="majorBidi" w:cstheme="majorBidi"/>
          <w:color w:val="000000"/>
          <w:sz w:val="24"/>
          <w:szCs w:val="24"/>
        </w:rPr>
        <w:t>CVP</w:t>
      </w:r>
      <w:r w:rsidRPr="006A47B7">
        <w:rPr>
          <w:rFonts w:asciiTheme="majorBidi" w:hAnsiTheme="majorBidi" w:cstheme="majorBidi"/>
          <w:color w:val="000000"/>
          <w:sz w:val="24"/>
          <w:szCs w:val="24"/>
        </w:rPr>
        <w:t xml:space="preserve"> is a method that is widely accepted in assessing the intravascular volume status. Nevertheless, positive pressure ventilation can affect precision in assessments of the CVP. Recently, the stroke volume variation has been used as guide during intraoperative anesthesia care in the operating room</w:t>
      </w:r>
      <w:r w:rsidRPr="006A47B7">
        <w:rPr>
          <w:rFonts w:asciiTheme="majorBidi" w:hAnsiTheme="majorBidi" w:cstheme="majorBidi"/>
          <w:b/>
          <w:bCs/>
          <w:i/>
          <w:iCs/>
          <w:color w:val="000000"/>
          <w:sz w:val="24"/>
          <w:szCs w:val="24"/>
        </w:rPr>
        <w:t xml:space="preserve"> (24). </w:t>
      </w:r>
      <w:r w:rsidRPr="006A47B7">
        <w:rPr>
          <w:rFonts w:asciiTheme="majorBidi" w:hAnsiTheme="majorBidi" w:cstheme="majorBidi"/>
          <w:color w:val="000000"/>
          <w:sz w:val="24"/>
          <w:szCs w:val="24"/>
        </w:rPr>
        <w:t>The SVC collapses partly or completely with positive pressure ventilation, depending on the transmural pressure difference between intrathoracic pressure and SVC pr</w:t>
      </w:r>
      <w:r w:rsidR="0093347F">
        <w:rPr>
          <w:rFonts w:asciiTheme="majorBidi" w:hAnsiTheme="majorBidi" w:cstheme="majorBidi"/>
          <w:color w:val="000000"/>
          <w:sz w:val="24"/>
          <w:szCs w:val="24"/>
        </w:rPr>
        <w:t>essure</w:t>
      </w:r>
      <w:r w:rsidRPr="006A47B7">
        <w:rPr>
          <w:rFonts w:asciiTheme="majorBidi" w:hAnsiTheme="majorBidi" w:cstheme="majorBidi"/>
          <w:color w:val="000000"/>
          <w:sz w:val="24"/>
          <w:szCs w:val="24"/>
        </w:rPr>
        <w:t xml:space="preserve">. In contrast, increased intrathoracic pressure causes dilation of the intraabdominal portion of the IVC. The collapsibility of the SVC has been used to estimate intravascular volume and fluid responsiveness in critically ill patients </w:t>
      </w:r>
      <w:r w:rsidRPr="006A47B7">
        <w:rPr>
          <w:rFonts w:asciiTheme="majorBidi" w:hAnsiTheme="majorBidi" w:cstheme="majorBidi"/>
          <w:b/>
          <w:bCs/>
          <w:i/>
          <w:iCs/>
          <w:color w:val="000000"/>
          <w:sz w:val="24"/>
          <w:szCs w:val="24"/>
        </w:rPr>
        <w:t xml:space="preserve">(25). </w:t>
      </w:r>
      <w:r w:rsidR="00D71622">
        <w:rPr>
          <w:rFonts w:asciiTheme="majorBidi" w:hAnsiTheme="majorBidi" w:cstheme="majorBidi"/>
          <w:color w:val="000000"/>
          <w:sz w:val="24"/>
          <w:szCs w:val="24"/>
        </w:rPr>
        <w:t>Moreover</w:t>
      </w:r>
      <w:r w:rsidRPr="006A47B7">
        <w:rPr>
          <w:rFonts w:asciiTheme="majorBidi" w:hAnsiTheme="majorBidi" w:cstheme="majorBidi"/>
          <w:color w:val="000000"/>
          <w:sz w:val="24"/>
          <w:szCs w:val="24"/>
        </w:rPr>
        <w:t xml:space="preserve">, accurate estimation of the CVP is a key component of the non-invasive measurement of right ventricular systolic pressure (RVSP), with inaccuracies leading to both under- and overestimation of the RVSP. No data specifically comparing SVC indices with CVP. Nor is this mentioned in guideline statements from echocardiography societies, perhaps because of the difficulty </w:t>
      </w:r>
      <w:r w:rsidRPr="006A47B7">
        <w:rPr>
          <w:rFonts w:asciiTheme="majorBidi" w:hAnsiTheme="majorBidi" w:cstheme="majorBidi"/>
          <w:color w:val="000000"/>
          <w:sz w:val="24"/>
          <w:szCs w:val="24"/>
        </w:rPr>
        <w:t xml:space="preserve">imaging the SVC with transthoracic echocardiography in adult patients. With transesophageal echocardiography (TOE), the SVC is easy to visualize in almost all patients </w:t>
      </w:r>
      <w:r w:rsidRPr="006A47B7">
        <w:rPr>
          <w:rFonts w:asciiTheme="majorBidi" w:hAnsiTheme="majorBidi" w:cstheme="majorBidi"/>
          <w:b/>
          <w:bCs/>
          <w:i/>
          <w:iCs/>
          <w:color w:val="000000"/>
          <w:sz w:val="24"/>
          <w:szCs w:val="24"/>
        </w:rPr>
        <w:t>(26).</w:t>
      </w:r>
      <w:r w:rsidR="00D67FD6">
        <w:rPr>
          <w:rFonts w:asciiTheme="majorBidi" w:hAnsiTheme="majorBidi" w:cstheme="majorBidi"/>
          <w:b/>
          <w:bCs/>
          <w:i/>
          <w:iCs/>
          <w:color w:val="000000"/>
          <w:sz w:val="24"/>
          <w:szCs w:val="24"/>
        </w:rPr>
        <w:t xml:space="preserve"> </w:t>
      </w:r>
      <w:r w:rsidR="00D67FD6" w:rsidRPr="00D67FD6">
        <w:rPr>
          <w:rFonts w:asciiTheme="majorBidi" w:hAnsiTheme="majorBidi" w:cstheme="majorBidi"/>
          <w:sz w:val="24"/>
          <w:szCs w:val="24"/>
        </w:rPr>
        <w:t xml:space="preserve">So, we aim in the current study </w:t>
      </w:r>
      <w:r w:rsidR="00D67FD6" w:rsidRPr="006A47B7">
        <w:rPr>
          <w:rFonts w:asciiTheme="majorBidi" w:hAnsiTheme="majorBidi" w:cstheme="majorBidi"/>
          <w:sz w:val="24"/>
          <w:szCs w:val="24"/>
        </w:rPr>
        <w:t>to evaluate the role of ultrasound measurements of SVC Diameter and collapsibility index in comparison to CVP measurements in guiding fluid therapy in patients with hypovolemic shock.</w:t>
      </w:r>
    </w:p>
    <w:p w14:paraId="726B5829" w14:textId="77777777" w:rsidR="00B51B47" w:rsidRDefault="00E15F8D" w:rsidP="00507FD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Patients </w:t>
      </w:r>
      <w:r w:rsidR="005039D9" w:rsidRPr="006A47B7">
        <w:rPr>
          <w:rFonts w:asciiTheme="majorBidi" w:hAnsiTheme="majorBidi" w:cstheme="majorBidi"/>
          <w:b/>
          <w:bCs/>
          <w:sz w:val="24"/>
          <w:szCs w:val="24"/>
        </w:rPr>
        <w:t>and methods</w:t>
      </w:r>
    </w:p>
    <w:p w14:paraId="1B221502" w14:textId="77777777" w:rsidR="00F72832" w:rsidRPr="00373AED" w:rsidRDefault="00F72832" w:rsidP="00507FDA">
      <w:pPr>
        <w:spacing w:line="360" w:lineRule="auto"/>
        <w:jc w:val="both"/>
        <w:rPr>
          <w:rFonts w:asciiTheme="majorBidi" w:hAnsiTheme="majorBidi" w:cstheme="majorBidi"/>
          <w:b/>
          <w:bCs/>
          <w:sz w:val="24"/>
          <w:szCs w:val="24"/>
          <w:lang w:bidi="ar-EG"/>
        </w:rPr>
      </w:pPr>
      <w:r w:rsidRPr="00373AED">
        <w:rPr>
          <w:b/>
          <w:bCs/>
        </w:rPr>
        <w:t>Study design</w:t>
      </w:r>
    </w:p>
    <w:p w14:paraId="058CA7CD" w14:textId="77777777" w:rsidR="00F72832" w:rsidRDefault="00CD7213" w:rsidP="00507FDA">
      <w:pPr>
        <w:spacing w:line="360" w:lineRule="auto"/>
        <w:jc w:val="both"/>
        <w:rPr>
          <w:rFonts w:asciiTheme="majorBidi" w:hAnsiTheme="majorBidi" w:cstheme="majorBidi"/>
          <w:sz w:val="24"/>
          <w:szCs w:val="24"/>
          <w:lang w:bidi="ar-EG"/>
        </w:rPr>
      </w:pPr>
      <w:r>
        <w:rPr>
          <w:rFonts w:asciiTheme="majorBidi" w:eastAsia="SimSun" w:hAnsiTheme="majorBidi" w:cstheme="majorBidi"/>
          <w:sz w:val="24"/>
          <w:szCs w:val="24"/>
          <w:lang w:eastAsia="zh-CN"/>
        </w:rPr>
        <w:t>An</w:t>
      </w:r>
      <w:r w:rsidR="005039D9" w:rsidRPr="006A47B7">
        <w:rPr>
          <w:rFonts w:asciiTheme="majorBidi" w:eastAsia="SimSun" w:hAnsiTheme="majorBidi" w:cstheme="majorBidi"/>
          <w:sz w:val="24"/>
          <w:szCs w:val="24"/>
          <w:lang w:eastAsia="zh-CN"/>
        </w:rPr>
        <w:t xml:space="preserve"> observational cross-sectional study was carried out in the intensive care unit (ICU), Benha University Hospital and approved by The Ethical Committee of </w:t>
      </w:r>
      <w:proofErr w:type="spellStart"/>
      <w:r w:rsidR="005039D9" w:rsidRPr="006A47B7">
        <w:rPr>
          <w:rFonts w:asciiTheme="majorBidi" w:eastAsia="SimSun" w:hAnsiTheme="majorBidi" w:cstheme="majorBidi"/>
          <w:sz w:val="24"/>
          <w:szCs w:val="24"/>
          <w:lang w:eastAsia="zh-CN"/>
        </w:rPr>
        <w:t>Benha</w:t>
      </w:r>
      <w:proofErr w:type="spellEnd"/>
      <w:r w:rsidR="005039D9" w:rsidRPr="006A47B7">
        <w:rPr>
          <w:rFonts w:asciiTheme="majorBidi" w:eastAsia="SimSun" w:hAnsiTheme="majorBidi" w:cstheme="majorBidi"/>
          <w:sz w:val="24"/>
          <w:szCs w:val="24"/>
          <w:lang w:eastAsia="zh-CN"/>
        </w:rPr>
        <w:t xml:space="preserve"> University.</w:t>
      </w:r>
      <w:r w:rsidR="005039D9" w:rsidRPr="006A47B7">
        <w:rPr>
          <w:rFonts w:asciiTheme="majorBidi" w:hAnsiTheme="majorBidi" w:cstheme="majorBidi"/>
          <w:sz w:val="24"/>
          <w:szCs w:val="24"/>
          <w:lang w:bidi="ar-EG"/>
        </w:rPr>
        <w:t xml:space="preserve">   </w:t>
      </w:r>
    </w:p>
    <w:p w14:paraId="000E0E30" w14:textId="77777777" w:rsidR="00F72832" w:rsidRPr="00373AED" w:rsidRDefault="00F72832" w:rsidP="00F72832">
      <w:pPr>
        <w:spacing w:line="360" w:lineRule="auto"/>
        <w:jc w:val="both"/>
        <w:rPr>
          <w:b/>
          <w:bCs/>
        </w:rPr>
      </w:pPr>
      <w:r w:rsidRPr="00373AED">
        <w:rPr>
          <w:b/>
          <w:bCs/>
        </w:rPr>
        <w:t xml:space="preserve">Study patients </w:t>
      </w:r>
    </w:p>
    <w:p w14:paraId="3642E915" w14:textId="77777777" w:rsidR="00B51B47" w:rsidRDefault="005039D9" w:rsidP="00373AED">
      <w:pPr>
        <w:spacing w:line="360" w:lineRule="auto"/>
        <w:jc w:val="both"/>
        <w:rPr>
          <w:rFonts w:asciiTheme="majorBidi" w:eastAsia="SimSun" w:hAnsiTheme="majorBidi" w:cstheme="majorBidi"/>
          <w:sz w:val="24"/>
          <w:szCs w:val="24"/>
          <w:lang w:eastAsia="zh-CN"/>
        </w:rPr>
      </w:pPr>
      <w:r w:rsidRPr="006A47B7">
        <w:rPr>
          <w:rFonts w:asciiTheme="majorBidi" w:hAnsiTheme="majorBidi" w:cstheme="majorBidi"/>
          <w:sz w:val="24"/>
          <w:szCs w:val="24"/>
          <w:lang w:bidi="ar-EG"/>
        </w:rPr>
        <w:t>T</w:t>
      </w:r>
      <w:r w:rsidRPr="006A47B7">
        <w:rPr>
          <w:rFonts w:asciiTheme="majorBidi" w:eastAsia="SimSun" w:hAnsiTheme="majorBidi" w:cstheme="majorBidi"/>
          <w:sz w:val="24"/>
          <w:szCs w:val="24"/>
          <w:lang w:eastAsia="zh-CN"/>
        </w:rPr>
        <w:t>his study included 100 patients of both sex with hypovolemic shock admitted to the ICU in Benha University Hospital. A written informed consent was taken from patient’s relatives. All patients had a functioning central venous catheter inserted and SVC diameter using US was measured.</w:t>
      </w:r>
    </w:p>
    <w:p w14:paraId="3FF49376" w14:textId="77777777" w:rsidR="00373AED" w:rsidRPr="00373AED" w:rsidRDefault="00373AED" w:rsidP="00373AED">
      <w:pPr>
        <w:spacing w:before="240" w:after="240" w:line="360" w:lineRule="auto"/>
        <w:jc w:val="both"/>
        <w:rPr>
          <w:rFonts w:asciiTheme="majorBidi" w:hAnsiTheme="majorBidi" w:cstheme="majorBidi"/>
          <w:b/>
          <w:bCs/>
          <w:sz w:val="24"/>
          <w:szCs w:val="24"/>
        </w:rPr>
      </w:pPr>
      <w:r w:rsidRPr="00373AED">
        <w:rPr>
          <w:rFonts w:asciiTheme="majorBidi" w:hAnsiTheme="majorBidi" w:cstheme="majorBidi"/>
          <w:b/>
          <w:bCs/>
          <w:sz w:val="24"/>
          <w:szCs w:val="24"/>
        </w:rPr>
        <w:t xml:space="preserve">Inclusion criteria: </w:t>
      </w:r>
    </w:p>
    <w:p w14:paraId="24C9EC43" w14:textId="77777777" w:rsidR="00373AED" w:rsidRPr="00373AED" w:rsidRDefault="00373AED" w:rsidP="00373AED">
      <w:pPr>
        <w:spacing w:before="240" w:after="240" w:line="360" w:lineRule="auto"/>
        <w:jc w:val="both"/>
        <w:rPr>
          <w:rFonts w:asciiTheme="majorBidi" w:hAnsiTheme="majorBidi" w:cstheme="majorBidi"/>
          <w:sz w:val="24"/>
          <w:szCs w:val="24"/>
        </w:rPr>
      </w:pPr>
      <w:r w:rsidRPr="00373AED">
        <w:rPr>
          <w:rFonts w:asciiTheme="majorBidi" w:hAnsiTheme="majorBidi" w:cstheme="majorBidi"/>
          <w:sz w:val="24"/>
          <w:szCs w:val="24"/>
        </w:rPr>
        <w:t xml:space="preserve">ASA I–III, ICU patients above 18 years old, non-intubated, non-ventilated with hypovolemic </w:t>
      </w:r>
      <w:proofErr w:type="spellStart"/>
      <w:r w:rsidRPr="00373AED">
        <w:rPr>
          <w:rFonts w:asciiTheme="majorBidi" w:hAnsiTheme="majorBidi" w:cstheme="majorBidi"/>
          <w:sz w:val="24"/>
          <w:szCs w:val="24"/>
        </w:rPr>
        <w:t>nonhemorrhagic</w:t>
      </w:r>
      <w:proofErr w:type="spellEnd"/>
      <w:r w:rsidRPr="00373AED">
        <w:rPr>
          <w:rFonts w:asciiTheme="majorBidi" w:hAnsiTheme="majorBidi" w:cstheme="majorBidi"/>
          <w:sz w:val="24"/>
          <w:szCs w:val="24"/>
        </w:rPr>
        <w:t xml:space="preserve"> shock (mean </w:t>
      </w:r>
      <w:r w:rsidRPr="00373AED">
        <w:rPr>
          <w:rFonts w:asciiTheme="majorBidi" w:hAnsiTheme="majorBidi" w:cstheme="majorBidi"/>
          <w:sz w:val="24"/>
          <w:szCs w:val="24"/>
        </w:rPr>
        <w:lastRenderedPageBreak/>
        <w:t xml:space="preserve">arterial BP &lt;65 mmHg and tachycardia (defined as heart rate&gt;100 beats/minute) </w:t>
      </w:r>
    </w:p>
    <w:p w14:paraId="71798A5F" w14:textId="77777777" w:rsidR="00373AED" w:rsidRPr="00373AED" w:rsidRDefault="00373AED" w:rsidP="00373AED">
      <w:pPr>
        <w:spacing w:before="240" w:after="240" w:line="360" w:lineRule="auto"/>
        <w:jc w:val="both"/>
        <w:rPr>
          <w:rFonts w:asciiTheme="majorBidi" w:hAnsiTheme="majorBidi" w:cstheme="majorBidi"/>
          <w:b/>
          <w:bCs/>
          <w:sz w:val="24"/>
          <w:szCs w:val="24"/>
        </w:rPr>
      </w:pPr>
      <w:r w:rsidRPr="00373AED">
        <w:rPr>
          <w:rFonts w:asciiTheme="majorBidi" w:hAnsiTheme="majorBidi" w:cstheme="majorBidi"/>
          <w:b/>
          <w:bCs/>
          <w:sz w:val="24"/>
          <w:szCs w:val="24"/>
        </w:rPr>
        <w:t xml:space="preserve">Exclusion criteria: </w:t>
      </w:r>
    </w:p>
    <w:p w14:paraId="5EBE5C04" w14:textId="77777777" w:rsidR="00373AED" w:rsidRPr="00373AED" w:rsidRDefault="00373AED" w:rsidP="00373AED">
      <w:pPr>
        <w:spacing w:before="240" w:after="240" w:line="360" w:lineRule="auto"/>
        <w:jc w:val="both"/>
        <w:rPr>
          <w:rFonts w:asciiTheme="majorBidi" w:hAnsiTheme="majorBidi" w:cstheme="majorBidi"/>
          <w:sz w:val="24"/>
          <w:szCs w:val="24"/>
        </w:rPr>
      </w:pPr>
      <w:r w:rsidRPr="00373AED">
        <w:rPr>
          <w:rFonts w:asciiTheme="majorBidi" w:hAnsiTheme="majorBidi" w:cstheme="majorBidi"/>
          <w:sz w:val="24"/>
          <w:szCs w:val="24"/>
        </w:rPr>
        <w:t xml:space="preserve">Patients under 18 years,  patients with severe orthopnea, morbid obese BMI above 50kg/m2, suspected or diagnosed raised intraabdominal or intrathoracic pressures as known pregnancy, portal hypertension, or mediastinal mass, valvular heart disease , extended </w:t>
      </w:r>
      <w:proofErr w:type="spellStart"/>
      <w:r w:rsidRPr="00373AED">
        <w:rPr>
          <w:rFonts w:asciiTheme="majorBidi" w:hAnsiTheme="majorBidi" w:cstheme="majorBidi"/>
          <w:sz w:val="24"/>
          <w:szCs w:val="24"/>
        </w:rPr>
        <w:t>cervico</w:t>
      </w:r>
      <w:proofErr w:type="spellEnd"/>
      <w:r w:rsidRPr="00373AED">
        <w:rPr>
          <w:rFonts w:asciiTheme="majorBidi" w:hAnsiTheme="majorBidi" w:cstheme="majorBidi"/>
          <w:sz w:val="24"/>
          <w:szCs w:val="24"/>
        </w:rPr>
        <w:t xml:space="preserve"> facial cellulitis, venous thrombosis, ongoing hemodialysis on an internal jugular vein </w:t>
      </w:r>
      <w:proofErr w:type="spellStart"/>
      <w:r w:rsidRPr="00373AED">
        <w:rPr>
          <w:rFonts w:asciiTheme="majorBidi" w:hAnsiTheme="majorBidi" w:cstheme="majorBidi"/>
          <w:sz w:val="24"/>
          <w:szCs w:val="24"/>
        </w:rPr>
        <w:t>cathter</w:t>
      </w:r>
      <w:proofErr w:type="spellEnd"/>
      <w:r w:rsidRPr="00373AED">
        <w:rPr>
          <w:rFonts w:asciiTheme="majorBidi" w:hAnsiTheme="majorBidi" w:cstheme="majorBidi"/>
          <w:sz w:val="24"/>
          <w:szCs w:val="24"/>
        </w:rPr>
        <w:t>, intracerebral hemorrhage or increased intracranial pressure, atrial fibrillation.</w:t>
      </w:r>
    </w:p>
    <w:p w14:paraId="47DCE8E2" w14:textId="77777777" w:rsidR="00373AED" w:rsidRPr="00373AED" w:rsidRDefault="00373AED" w:rsidP="00373AED">
      <w:pPr>
        <w:spacing w:before="240" w:after="240" w:line="360" w:lineRule="auto"/>
        <w:jc w:val="both"/>
        <w:rPr>
          <w:rFonts w:asciiTheme="majorBidi" w:eastAsia="SimSun" w:hAnsiTheme="majorBidi" w:cstheme="majorBidi"/>
          <w:b/>
          <w:bCs/>
          <w:sz w:val="24"/>
          <w:szCs w:val="24"/>
          <w:lang w:eastAsia="zh-CN"/>
        </w:rPr>
      </w:pPr>
      <w:r w:rsidRPr="00373AED">
        <w:rPr>
          <w:rFonts w:asciiTheme="majorBidi" w:eastAsia="SimSun" w:hAnsiTheme="majorBidi" w:cstheme="majorBidi"/>
          <w:b/>
          <w:bCs/>
          <w:sz w:val="24"/>
          <w:szCs w:val="24"/>
          <w:lang w:eastAsia="zh-CN"/>
        </w:rPr>
        <w:t>Patients’ examination</w:t>
      </w:r>
    </w:p>
    <w:p w14:paraId="00DF015E" w14:textId="77777777" w:rsidR="00224373" w:rsidRPr="006A47B7" w:rsidRDefault="005039D9" w:rsidP="00373AED">
      <w:pPr>
        <w:spacing w:before="240" w:after="240" w:line="360" w:lineRule="auto"/>
        <w:jc w:val="both"/>
        <w:rPr>
          <w:rFonts w:asciiTheme="majorBidi" w:hAnsiTheme="majorBidi" w:cstheme="majorBidi"/>
          <w:b/>
          <w:bCs/>
          <w:sz w:val="24"/>
          <w:szCs w:val="24"/>
        </w:rPr>
      </w:pPr>
      <w:r w:rsidRPr="00373AED">
        <w:rPr>
          <w:rFonts w:asciiTheme="majorBidi" w:eastAsia="SimSun" w:hAnsiTheme="majorBidi" w:cstheme="majorBidi"/>
          <w:sz w:val="24"/>
          <w:szCs w:val="24"/>
          <w:lang w:eastAsia="zh-CN"/>
        </w:rPr>
        <w:t>All patients</w:t>
      </w:r>
      <w:r w:rsidRPr="006A47B7">
        <w:rPr>
          <w:rFonts w:asciiTheme="majorBidi" w:hAnsiTheme="majorBidi" w:cstheme="majorBidi"/>
          <w:sz w:val="24"/>
          <w:szCs w:val="24"/>
          <w:lang w:bidi="ar-EG"/>
        </w:rPr>
        <w:t xml:space="preserve"> were subjected to</w:t>
      </w:r>
      <w:r w:rsidR="00CD7213">
        <w:rPr>
          <w:rFonts w:asciiTheme="majorBidi" w:hAnsiTheme="majorBidi" w:cstheme="majorBidi"/>
          <w:sz w:val="24"/>
          <w:szCs w:val="24"/>
          <w:lang w:bidi="ar-EG"/>
        </w:rPr>
        <w:t xml:space="preserve"> full</w:t>
      </w:r>
      <w:r w:rsidRPr="006A47B7">
        <w:rPr>
          <w:rFonts w:asciiTheme="majorBidi" w:hAnsiTheme="majorBidi" w:cstheme="majorBidi"/>
          <w:sz w:val="24"/>
          <w:szCs w:val="24"/>
          <w:lang w:bidi="ar-EG"/>
        </w:rPr>
        <w:t xml:space="preserve"> </w:t>
      </w:r>
      <w:r w:rsidRPr="005231E4">
        <w:rPr>
          <w:rFonts w:asciiTheme="majorBidi" w:hAnsiTheme="majorBidi" w:cstheme="majorBidi"/>
          <w:sz w:val="24"/>
          <w:szCs w:val="24"/>
          <w:lang w:bidi="ar-EG"/>
        </w:rPr>
        <w:t xml:space="preserve">assessment, </w:t>
      </w:r>
      <w:r w:rsidR="00CD7213">
        <w:rPr>
          <w:rFonts w:asciiTheme="majorBidi" w:hAnsiTheme="majorBidi" w:cstheme="majorBidi"/>
          <w:sz w:val="24"/>
          <w:szCs w:val="24"/>
          <w:lang w:bidi="ar-EG"/>
        </w:rPr>
        <w:t>as</w:t>
      </w:r>
      <w:r w:rsidRPr="006A47B7">
        <w:rPr>
          <w:rFonts w:asciiTheme="majorBidi" w:hAnsiTheme="majorBidi" w:cstheme="majorBidi"/>
          <w:sz w:val="24"/>
          <w:szCs w:val="24"/>
          <w:lang w:bidi="ar-EG"/>
        </w:rPr>
        <w:t xml:space="preserve"> age, sex, body weight, and height</w:t>
      </w:r>
      <w:r w:rsidR="00CD7213">
        <w:rPr>
          <w:rFonts w:asciiTheme="majorBidi" w:hAnsiTheme="majorBidi" w:cstheme="majorBidi"/>
          <w:sz w:val="24"/>
          <w:szCs w:val="24"/>
          <w:lang w:bidi="ar-EG"/>
        </w:rPr>
        <w:t>.</w:t>
      </w:r>
      <w:r w:rsidR="00E26BA2" w:rsidRPr="006A47B7">
        <w:rPr>
          <w:rFonts w:asciiTheme="majorBidi" w:hAnsiTheme="majorBidi" w:cstheme="majorBidi"/>
          <w:sz w:val="24"/>
          <w:szCs w:val="24"/>
          <w:lang w:bidi="ar-EG"/>
        </w:rPr>
        <w:t xml:space="preserve"> </w:t>
      </w:r>
      <w:r w:rsidR="005231E4" w:rsidRPr="006A47B7">
        <w:rPr>
          <w:rFonts w:asciiTheme="majorBidi" w:hAnsiTheme="majorBidi" w:cstheme="majorBidi"/>
          <w:sz w:val="24"/>
          <w:szCs w:val="24"/>
        </w:rPr>
        <w:t>Mean age of studied cases was 51.2 years, ranged from 19 to 80 years. They were 74 males and 26 females.</w:t>
      </w:r>
      <w:r w:rsidR="005231E4">
        <w:rPr>
          <w:rFonts w:asciiTheme="majorBidi" w:hAnsiTheme="majorBidi" w:cstheme="majorBidi"/>
          <w:sz w:val="24"/>
          <w:szCs w:val="24"/>
        </w:rPr>
        <w:t xml:space="preserve"> </w:t>
      </w:r>
      <w:r w:rsidRPr="005231E4">
        <w:rPr>
          <w:rFonts w:asciiTheme="majorBidi" w:hAnsiTheme="majorBidi" w:cstheme="majorBidi"/>
          <w:sz w:val="24"/>
          <w:szCs w:val="24"/>
          <w:lang w:bidi="ar-EG"/>
        </w:rPr>
        <w:t>Full history</w:t>
      </w:r>
      <w:r w:rsidR="00CD7213">
        <w:rPr>
          <w:rFonts w:asciiTheme="majorBidi" w:hAnsiTheme="majorBidi" w:cstheme="majorBidi"/>
          <w:sz w:val="24"/>
          <w:szCs w:val="24"/>
          <w:lang w:bidi="ar-EG"/>
        </w:rPr>
        <w:t xml:space="preserve"> was reported</w:t>
      </w:r>
      <w:r w:rsidRPr="005231E4">
        <w:rPr>
          <w:rFonts w:asciiTheme="majorBidi" w:hAnsiTheme="majorBidi" w:cstheme="majorBidi"/>
          <w:sz w:val="24"/>
          <w:szCs w:val="24"/>
          <w:lang w:bidi="ar-EG"/>
        </w:rPr>
        <w:t xml:space="preserve">, </w:t>
      </w:r>
      <w:r w:rsidR="00CD7213">
        <w:rPr>
          <w:rFonts w:asciiTheme="majorBidi" w:hAnsiTheme="majorBidi" w:cstheme="majorBidi"/>
          <w:sz w:val="24"/>
          <w:szCs w:val="24"/>
          <w:lang w:bidi="ar-EG"/>
        </w:rPr>
        <w:t>p</w:t>
      </w:r>
      <w:r w:rsidRPr="005231E4">
        <w:rPr>
          <w:rFonts w:asciiTheme="majorBidi" w:hAnsiTheme="majorBidi" w:cstheme="majorBidi"/>
          <w:sz w:val="24"/>
          <w:szCs w:val="24"/>
          <w:lang w:bidi="ar-EG"/>
        </w:rPr>
        <w:t xml:space="preserve">ast </w:t>
      </w:r>
      <w:r w:rsidR="00CD7213">
        <w:rPr>
          <w:rFonts w:asciiTheme="majorBidi" w:hAnsiTheme="majorBidi" w:cstheme="majorBidi"/>
          <w:sz w:val="24"/>
          <w:szCs w:val="24"/>
          <w:lang w:bidi="ar-EG"/>
        </w:rPr>
        <w:t>m</w:t>
      </w:r>
      <w:r w:rsidRPr="005231E4">
        <w:rPr>
          <w:rFonts w:asciiTheme="majorBidi" w:hAnsiTheme="majorBidi" w:cstheme="majorBidi"/>
          <w:sz w:val="24"/>
          <w:szCs w:val="24"/>
          <w:lang w:bidi="ar-EG"/>
        </w:rPr>
        <w:t xml:space="preserve">edical </w:t>
      </w:r>
      <w:r w:rsidR="00CD7213">
        <w:rPr>
          <w:rFonts w:asciiTheme="majorBidi" w:hAnsiTheme="majorBidi" w:cstheme="majorBidi"/>
          <w:sz w:val="24"/>
          <w:szCs w:val="24"/>
          <w:lang w:bidi="ar-EG"/>
        </w:rPr>
        <w:t>h</w:t>
      </w:r>
      <w:r w:rsidRPr="005231E4">
        <w:rPr>
          <w:rFonts w:asciiTheme="majorBidi" w:hAnsiTheme="majorBidi" w:cstheme="majorBidi"/>
          <w:sz w:val="24"/>
          <w:szCs w:val="24"/>
          <w:lang w:bidi="ar-EG"/>
        </w:rPr>
        <w:t>istory including diseases as diabetes mellitus, hypertension, chronic kidney</w:t>
      </w:r>
      <w:r w:rsidRPr="006A47B7">
        <w:rPr>
          <w:rFonts w:asciiTheme="majorBidi" w:eastAsia="SimSun" w:hAnsiTheme="majorBidi" w:cstheme="majorBidi"/>
          <w:sz w:val="24"/>
          <w:szCs w:val="24"/>
          <w:lang w:eastAsia="zh-CN"/>
        </w:rPr>
        <w:t xml:space="preserve"> disease, chronic liver disease, cardiac history, cerebrovascular stroke, </w:t>
      </w:r>
      <w:r w:rsidR="00CD7213">
        <w:rPr>
          <w:rFonts w:asciiTheme="majorBidi" w:eastAsia="SimSun" w:hAnsiTheme="majorBidi" w:cstheme="majorBidi"/>
          <w:sz w:val="24"/>
          <w:szCs w:val="24"/>
          <w:lang w:eastAsia="zh-CN"/>
        </w:rPr>
        <w:t>h</w:t>
      </w:r>
      <w:r w:rsidRPr="006A47B7">
        <w:rPr>
          <w:rFonts w:asciiTheme="majorBidi" w:eastAsia="SimSun" w:hAnsiTheme="majorBidi" w:cstheme="majorBidi"/>
          <w:sz w:val="24"/>
          <w:szCs w:val="24"/>
          <w:lang w:eastAsia="zh-CN"/>
        </w:rPr>
        <w:t xml:space="preserve">istory of previous allergy, </w:t>
      </w:r>
      <w:r w:rsidR="00CD7213">
        <w:rPr>
          <w:rFonts w:asciiTheme="majorBidi" w:eastAsia="SimSun" w:hAnsiTheme="majorBidi" w:cstheme="majorBidi"/>
          <w:sz w:val="24"/>
          <w:szCs w:val="24"/>
          <w:lang w:eastAsia="zh-CN"/>
        </w:rPr>
        <w:t>h</w:t>
      </w:r>
      <w:r w:rsidRPr="006A47B7">
        <w:rPr>
          <w:rFonts w:asciiTheme="majorBidi" w:eastAsia="SimSun" w:hAnsiTheme="majorBidi" w:cstheme="majorBidi"/>
          <w:sz w:val="24"/>
          <w:szCs w:val="24"/>
          <w:lang w:eastAsia="zh-CN"/>
        </w:rPr>
        <w:t xml:space="preserve">istory of any drug or toxin intake, and in case of traumatized patient, </w:t>
      </w:r>
      <w:r w:rsidRPr="005231E4">
        <w:rPr>
          <w:rFonts w:asciiTheme="majorBidi" w:hAnsiTheme="majorBidi" w:cstheme="majorBidi"/>
          <w:sz w:val="24"/>
          <w:szCs w:val="24"/>
          <w:lang w:bidi="ar-EG"/>
        </w:rPr>
        <w:t>mode and the time of trauma was taken in consideration. Past surgical history</w:t>
      </w:r>
      <w:r w:rsidR="00E26BA2" w:rsidRPr="005231E4">
        <w:rPr>
          <w:rFonts w:asciiTheme="majorBidi" w:hAnsiTheme="majorBidi" w:cstheme="majorBidi"/>
          <w:sz w:val="24"/>
          <w:szCs w:val="24"/>
          <w:lang w:bidi="ar-EG"/>
        </w:rPr>
        <w:t xml:space="preserve"> inc</w:t>
      </w:r>
      <w:r w:rsidR="00CD7213">
        <w:rPr>
          <w:rFonts w:asciiTheme="majorBidi" w:hAnsiTheme="majorBidi" w:cstheme="majorBidi"/>
          <w:sz w:val="24"/>
          <w:szCs w:val="24"/>
          <w:lang w:bidi="ar-EG"/>
        </w:rPr>
        <w:t xml:space="preserve">luding any recent </w:t>
      </w:r>
      <w:r w:rsidR="00CD7213">
        <w:rPr>
          <w:rFonts w:asciiTheme="majorBidi" w:hAnsiTheme="majorBidi" w:cstheme="majorBidi"/>
          <w:sz w:val="24"/>
          <w:szCs w:val="24"/>
          <w:lang w:bidi="ar-EG"/>
        </w:rPr>
        <w:t>surgeries.</w:t>
      </w:r>
      <w:r w:rsidR="00E26BA2" w:rsidRPr="005231E4">
        <w:rPr>
          <w:rFonts w:asciiTheme="majorBidi" w:hAnsiTheme="majorBidi" w:cstheme="majorBidi"/>
          <w:sz w:val="24"/>
          <w:szCs w:val="24"/>
          <w:lang w:bidi="ar-EG"/>
        </w:rPr>
        <w:t xml:space="preserve"> </w:t>
      </w:r>
      <w:r w:rsidRPr="005231E4">
        <w:rPr>
          <w:rFonts w:asciiTheme="majorBidi" w:hAnsiTheme="majorBidi" w:cstheme="majorBidi"/>
          <w:sz w:val="24"/>
          <w:szCs w:val="24"/>
          <w:lang w:bidi="ar-EG"/>
        </w:rPr>
        <w:t>Complete clinical examination</w:t>
      </w:r>
      <w:r w:rsidR="00CD7213">
        <w:rPr>
          <w:rFonts w:asciiTheme="majorBidi" w:hAnsiTheme="majorBidi" w:cstheme="majorBidi"/>
          <w:sz w:val="24"/>
          <w:szCs w:val="24"/>
          <w:lang w:bidi="ar-EG"/>
        </w:rPr>
        <w:t xml:space="preserve"> was done.</w:t>
      </w:r>
      <w:r w:rsidRPr="005231E4">
        <w:rPr>
          <w:rFonts w:asciiTheme="majorBidi" w:hAnsiTheme="majorBidi" w:cstheme="majorBidi"/>
          <w:sz w:val="24"/>
          <w:szCs w:val="24"/>
          <w:lang w:bidi="ar-EG"/>
        </w:rPr>
        <w:t xml:space="preserve"> </w:t>
      </w:r>
      <w:r w:rsidRPr="006A47B7">
        <w:rPr>
          <w:rFonts w:asciiTheme="majorBidi" w:hAnsiTheme="majorBidi" w:cstheme="majorBidi"/>
          <w:sz w:val="24"/>
          <w:szCs w:val="24"/>
          <w:lang w:bidi="ar-EG"/>
        </w:rPr>
        <w:t xml:space="preserve">Measurement of the patient's hemodynamic parameters </w:t>
      </w:r>
      <w:r w:rsidR="00CD7213">
        <w:rPr>
          <w:rFonts w:asciiTheme="majorBidi" w:hAnsiTheme="majorBidi" w:cstheme="majorBidi"/>
          <w:sz w:val="24"/>
          <w:szCs w:val="24"/>
          <w:lang w:bidi="ar-EG"/>
        </w:rPr>
        <w:t xml:space="preserve">was evaluated by </w:t>
      </w:r>
      <w:r w:rsidRPr="006A47B7">
        <w:rPr>
          <w:rFonts w:asciiTheme="majorBidi" w:hAnsiTheme="majorBidi" w:cstheme="majorBidi"/>
          <w:sz w:val="24"/>
          <w:szCs w:val="24"/>
          <w:lang w:bidi="ar-EG"/>
        </w:rPr>
        <w:t>ABCDE</w:t>
      </w:r>
      <w:r w:rsidRPr="006A47B7">
        <w:rPr>
          <w:rFonts w:asciiTheme="majorBidi" w:hAnsiTheme="majorBidi" w:cstheme="majorBidi"/>
          <w:sz w:val="24"/>
          <w:szCs w:val="24"/>
        </w:rPr>
        <w:t xml:space="preserve"> </w:t>
      </w:r>
    </w:p>
    <w:p w14:paraId="06442FC5" w14:textId="77777777" w:rsidR="00B51B47" w:rsidRPr="006A47B7" w:rsidRDefault="005039D9" w:rsidP="00507FDA">
      <w:pPr>
        <w:spacing w:before="240" w:after="240" w:line="360" w:lineRule="auto"/>
        <w:jc w:val="both"/>
        <w:rPr>
          <w:rFonts w:asciiTheme="majorBidi" w:hAnsiTheme="majorBidi" w:cstheme="majorBidi"/>
          <w:sz w:val="24"/>
          <w:szCs w:val="24"/>
        </w:rPr>
      </w:pPr>
      <w:r w:rsidRPr="006A47B7">
        <w:rPr>
          <w:rFonts w:asciiTheme="majorBidi" w:hAnsiTheme="majorBidi" w:cstheme="majorBidi"/>
          <w:b/>
          <w:bCs/>
          <w:sz w:val="24"/>
          <w:szCs w:val="24"/>
        </w:rPr>
        <w:t xml:space="preserve">Measurement of </w:t>
      </w:r>
      <w:r w:rsidR="00CD7213">
        <w:rPr>
          <w:rFonts w:asciiTheme="majorBidi" w:hAnsiTheme="majorBidi" w:cstheme="majorBidi"/>
          <w:b/>
          <w:bCs/>
          <w:sz w:val="24"/>
          <w:szCs w:val="24"/>
        </w:rPr>
        <w:t xml:space="preserve">CVP </w:t>
      </w:r>
      <w:r w:rsidRPr="006A47B7">
        <w:rPr>
          <w:rFonts w:asciiTheme="majorBidi" w:hAnsiTheme="majorBidi" w:cstheme="majorBidi"/>
          <w:b/>
          <w:bCs/>
          <w:sz w:val="24"/>
          <w:szCs w:val="24"/>
        </w:rPr>
        <w:t xml:space="preserve">and </w:t>
      </w:r>
      <w:r w:rsidR="00CD7213">
        <w:rPr>
          <w:rFonts w:asciiTheme="majorBidi" w:hAnsiTheme="majorBidi" w:cstheme="majorBidi"/>
          <w:b/>
          <w:bCs/>
          <w:sz w:val="24"/>
          <w:szCs w:val="24"/>
        </w:rPr>
        <w:t xml:space="preserve">SVC </w:t>
      </w:r>
      <w:r w:rsidRPr="006A47B7">
        <w:rPr>
          <w:rFonts w:asciiTheme="majorBidi" w:hAnsiTheme="majorBidi" w:cstheme="majorBidi"/>
          <w:b/>
          <w:bCs/>
          <w:sz w:val="24"/>
          <w:szCs w:val="24"/>
        </w:rPr>
        <w:t xml:space="preserve">diameter and </w:t>
      </w:r>
      <w:r w:rsidR="00775DAD">
        <w:rPr>
          <w:rFonts w:asciiTheme="majorBidi" w:hAnsiTheme="majorBidi" w:cstheme="majorBidi"/>
          <w:b/>
          <w:bCs/>
          <w:sz w:val="24"/>
          <w:szCs w:val="24"/>
        </w:rPr>
        <w:t>CI</w:t>
      </w:r>
      <w:r w:rsidRPr="006A47B7">
        <w:rPr>
          <w:rFonts w:asciiTheme="majorBidi" w:hAnsiTheme="majorBidi" w:cstheme="majorBidi"/>
          <w:b/>
          <w:bCs/>
          <w:sz w:val="24"/>
          <w:szCs w:val="24"/>
        </w:rPr>
        <w:t xml:space="preserve"> by ultrasound: </w:t>
      </w:r>
      <w:r w:rsidRPr="006A47B7">
        <w:rPr>
          <w:rFonts w:asciiTheme="majorBidi" w:hAnsiTheme="majorBidi" w:cstheme="majorBidi"/>
          <w:sz w:val="24"/>
          <w:szCs w:val="24"/>
        </w:rPr>
        <w:t xml:space="preserve"> as </w:t>
      </w:r>
      <w:r w:rsidR="00775DAD">
        <w:rPr>
          <w:rFonts w:asciiTheme="majorBidi" w:hAnsiTheme="majorBidi" w:cstheme="majorBidi"/>
          <w:sz w:val="24"/>
          <w:szCs w:val="24"/>
        </w:rPr>
        <w:t>a</w:t>
      </w:r>
      <w:r w:rsidRPr="006A47B7">
        <w:rPr>
          <w:rFonts w:asciiTheme="majorBidi" w:hAnsiTheme="majorBidi" w:cstheme="majorBidi"/>
          <w:sz w:val="24"/>
          <w:szCs w:val="24"/>
        </w:rPr>
        <w:t>ll the readings of SVC diameter and CVP measurements were recorded concomitantly. All ultrasonographic examinations were performed with the patients in supine position by the same</w:t>
      </w:r>
      <w:r w:rsidR="00775DAD">
        <w:rPr>
          <w:rFonts w:asciiTheme="majorBidi" w:hAnsiTheme="majorBidi" w:cstheme="majorBidi"/>
          <w:sz w:val="24"/>
          <w:szCs w:val="24"/>
        </w:rPr>
        <w:t xml:space="preserve"> physician throughout the study</w:t>
      </w:r>
      <w:r w:rsidRPr="006A47B7">
        <w:rPr>
          <w:rFonts w:asciiTheme="majorBidi" w:hAnsiTheme="majorBidi" w:cstheme="majorBidi"/>
          <w:sz w:val="24"/>
          <w:szCs w:val="24"/>
        </w:rPr>
        <w:t xml:space="preserve">. All the readings were taken by the researcher. As he sought specialized training in use of bed side ultrasonography by taking POCUS Course. Supine chest radiography and </w:t>
      </w:r>
      <w:r w:rsidR="00B2135C">
        <w:rPr>
          <w:rFonts w:asciiTheme="majorBidi" w:hAnsiTheme="majorBidi" w:cstheme="majorBidi"/>
          <w:sz w:val="24"/>
          <w:szCs w:val="24"/>
        </w:rPr>
        <w:t xml:space="preserve">transthoracic echocardiography were </w:t>
      </w:r>
      <w:r w:rsidRPr="006A47B7">
        <w:rPr>
          <w:rFonts w:asciiTheme="majorBidi" w:hAnsiTheme="majorBidi" w:cstheme="majorBidi"/>
          <w:sz w:val="24"/>
          <w:szCs w:val="24"/>
        </w:rPr>
        <w:t>done to exclude cardiogenic and obstructive shock.</w:t>
      </w:r>
    </w:p>
    <w:p w14:paraId="00E94A06" w14:textId="77777777" w:rsidR="00507FDA" w:rsidRDefault="005039D9" w:rsidP="00507FDA">
      <w:pPr>
        <w:spacing w:before="240" w:after="240" w:line="360" w:lineRule="auto"/>
        <w:rPr>
          <w:rFonts w:asciiTheme="majorBidi" w:eastAsia="SimSun" w:hAnsiTheme="majorBidi" w:cstheme="majorBidi"/>
          <w:b/>
          <w:bCs/>
          <w:sz w:val="24"/>
          <w:szCs w:val="24"/>
        </w:rPr>
      </w:pPr>
      <w:r w:rsidRPr="006A47B7">
        <w:rPr>
          <w:rFonts w:asciiTheme="majorBidi" w:eastAsia="SimSun" w:hAnsiTheme="majorBidi" w:cstheme="majorBidi"/>
          <w:b/>
          <w:bCs/>
          <w:sz w:val="24"/>
          <w:szCs w:val="24"/>
        </w:rPr>
        <w:t>STATISTICAL ANALYSIS</w:t>
      </w:r>
    </w:p>
    <w:p w14:paraId="10C982A9" w14:textId="77777777" w:rsidR="00B51B47" w:rsidRPr="00507FDA" w:rsidRDefault="005039D9" w:rsidP="00507FDA">
      <w:pPr>
        <w:spacing w:before="240" w:after="240" w:line="360" w:lineRule="auto"/>
        <w:jc w:val="both"/>
        <w:rPr>
          <w:rFonts w:asciiTheme="majorBidi" w:hAnsiTheme="majorBidi" w:cstheme="majorBidi"/>
          <w:sz w:val="24"/>
          <w:szCs w:val="24"/>
        </w:rPr>
      </w:pPr>
      <w:r w:rsidRPr="00507FDA">
        <w:rPr>
          <w:rFonts w:asciiTheme="majorBidi" w:hAnsiTheme="majorBidi" w:cstheme="majorBidi"/>
          <w:sz w:val="24"/>
          <w:szCs w:val="24"/>
        </w:rPr>
        <w:t xml:space="preserve">The collected data was </w:t>
      </w:r>
      <w:r w:rsidR="00F61F53" w:rsidRPr="00507FDA">
        <w:rPr>
          <w:rFonts w:asciiTheme="majorBidi" w:hAnsiTheme="majorBidi" w:cstheme="majorBidi"/>
          <w:sz w:val="24"/>
          <w:szCs w:val="24"/>
        </w:rPr>
        <w:t>analysed</w:t>
      </w:r>
      <w:r w:rsidRPr="00507FDA">
        <w:rPr>
          <w:rFonts w:asciiTheme="majorBidi" w:hAnsiTheme="majorBidi" w:cstheme="majorBidi"/>
          <w:sz w:val="24"/>
          <w:szCs w:val="24"/>
        </w:rPr>
        <w:t xml:space="preserve"> using Statistical package for Social Science (IBM Corp. Released 2017. IBM SPSS Statistics for Windows, Version 25.0. Armonk, NY: IBM Corp.). Student T </w:t>
      </w:r>
      <w:r w:rsidR="009257BF" w:rsidRPr="00507FDA">
        <w:rPr>
          <w:rFonts w:asciiTheme="majorBidi" w:hAnsiTheme="majorBidi" w:cstheme="majorBidi"/>
          <w:sz w:val="24"/>
          <w:szCs w:val="24"/>
        </w:rPr>
        <w:t>t</w:t>
      </w:r>
      <w:r w:rsidRPr="00507FDA">
        <w:rPr>
          <w:rFonts w:asciiTheme="majorBidi" w:hAnsiTheme="majorBidi" w:cstheme="majorBidi"/>
          <w:sz w:val="24"/>
          <w:szCs w:val="24"/>
        </w:rPr>
        <w:t>est</w:t>
      </w:r>
      <w:r w:rsidR="001F06AA" w:rsidRPr="00507FDA">
        <w:rPr>
          <w:rFonts w:asciiTheme="majorBidi" w:hAnsiTheme="majorBidi" w:cstheme="majorBidi"/>
          <w:sz w:val="24"/>
          <w:szCs w:val="24"/>
        </w:rPr>
        <w:t xml:space="preserve"> </w:t>
      </w:r>
      <w:r w:rsidR="009257BF" w:rsidRPr="00507FDA">
        <w:rPr>
          <w:rFonts w:asciiTheme="majorBidi" w:hAnsiTheme="majorBidi" w:cstheme="majorBidi"/>
          <w:sz w:val="24"/>
          <w:szCs w:val="24"/>
        </w:rPr>
        <w:t xml:space="preserve">was </w:t>
      </w:r>
      <w:r w:rsidRPr="00507FDA">
        <w:rPr>
          <w:rFonts w:asciiTheme="majorBidi" w:hAnsiTheme="majorBidi" w:cstheme="majorBidi"/>
          <w:sz w:val="24"/>
          <w:szCs w:val="24"/>
        </w:rPr>
        <w:t>used to assess the statistical significance of the difference between two study group</w:t>
      </w:r>
      <w:r w:rsidR="001F06AA" w:rsidRPr="00507FDA">
        <w:rPr>
          <w:rFonts w:asciiTheme="majorBidi" w:hAnsiTheme="majorBidi" w:cstheme="majorBidi"/>
          <w:sz w:val="24"/>
          <w:szCs w:val="24"/>
        </w:rPr>
        <w:t>s</w:t>
      </w:r>
      <w:r w:rsidRPr="00507FDA">
        <w:rPr>
          <w:rFonts w:asciiTheme="majorBidi" w:hAnsiTheme="majorBidi" w:cstheme="majorBidi"/>
          <w:sz w:val="24"/>
          <w:szCs w:val="24"/>
        </w:rPr>
        <w:t xml:space="preserve">.  </w:t>
      </w:r>
      <w:r w:rsidR="001F06AA" w:rsidRPr="00507FDA">
        <w:rPr>
          <w:rFonts w:asciiTheme="majorBidi" w:hAnsiTheme="majorBidi" w:cstheme="majorBidi"/>
          <w:sz w:val="24"/>
          <w:szCs w:val="24"/>
        </w:rPr>
        <w:t>Correlation analysis was used to</w:t>
      </w:r>
      <w:r w:rsidRPr="00507FDA">
        <w:rPr>
          <w:rFonts w:asciiTheme="majorBidi" w:hAnsiTheme="majorBidi" w:cstheme="majorBidi"/>
          <w:sz w:val="24"/>
          <w:szCs w:val="24"/>
        </w:rPr>
        <w:t xml:space="preserve"> assess the strength of association between two quantitative variables. </w:t>
      </w:r>
      <w:r w:rsidR="004C3D73" w:rsidRPr="00507FDA">
        <w:rPr>
          <w:rFonts w:asciiTheme="majorBidi" w:hAnsiTheme="majorBidi" w:cstheme="majorBidi"/>
          <w:sz w:val="24"/>
          <w:szCs w:val="24"/>
        </w:rPr>
        <w:t xml:space="preserve">The ROC Curve </w:t>
      </w:r>
      <w:r w:rsidR="004C3D73" w:rsidRPr="00507FDA">
        <w:rPr>
          <w:rFonts w:asciiTheme="majorBidi" w:hAnsiTheme="majorBidi" w:cstheme="majorBidi"/>
          <w:sz w:val="24"/>
          <w:szCs w:val="24"/>
        </w:rPr>
        <w:lastRenderedPageBreak/>
        <w:t xml:space="preserve">(receiver operating characteristic) provides a useful way to evaluate the sensitivity and specificity for quantitative diagnostic measures that categorize cases into one of two groups. The optimum cut off point was defined as that which maximized the AUC value. </w:t>
      </w:r>
      <w:r w:rsidRPr="00507FDA">
        <w:rPr>
          <w:rFonts w:asciiTheme="majorBidi" w:hAnsiTheme="majorBidi" w:cstheme="majorBidi"/>
          <w:sz w:val="24"/>
          <w:szCs w:val="24"/>
        </w:rPr>
        <w:t>Logistic regression analysis was used</w:t>
      </w:r>
      <w:r w:rsidR="003D6CEB" w:rsidRPr="00507FDA">
        <w:rPr>
          <w:rFonts w:asciiTheme="majorBidi" w:hAnsiTheme="majorBidi" w:cstheme="majorBidi"/>
          <w:sz w:val="24"/>
          <w:szCs w:val="24"/>
        </w:rPr>
        <w:t xml:space="preserve"> for prediction of risk factors</w:t>
      </w:r>
      <w:r w:rsidRPr="00507FDA">
        <w:rPr>
          <w:rFonts w:asciiTheme="majorBidi" w:hAnsiTheme="majorBidi" w:cstheme="majorBidi"/>
          <w:sz w:val="24"/>
          <w:szCs w:val="24"/>
        </w:rPr>
        <w:t xml:space="preserve">. </w:t>
      </w:r>
      <w:r w:rsidR="00AA6C13" w:rsidRPr="00507FDA">
        <w:rPr>
          <w:rFonts w:asciiTheme="majorBidi" w:hAnsiTheme="majorBidi" w:cstheme="majorBidi"/>
          <w:sz w:val="24"/>
          <w:szCs w:val="24"/>
        </w:rPr>
        <w:t>A</w:t>
      </w:r>
      <w:r w:rsidRPr="00507FDA">
        <w:rPr>
          <w:rFonts w:asciiTheme="majorBidi" w:hAnsiTheme="majorBidi" w:cstheme="majorBidi"/>
          <w:sz w:val="24"/>
          <w:szCs w:val="24"/>
        </w:rPr>
        <w:t xml:space="preserve"> p is significant if &lt;0.05 at confidence interval 95%.</w:t>
      </w:r>
    </w:p>
    <w:p w14:paraId="1DA6439F" w14:textId="77777777" w:rsidR="00B51B47" w:rsidRPr="006A47B7" w:rsidRDefault="005039D9" w:rsidP="00507FDA">
      <w:pPr>
        <w:spacing w:before="240" w:after="200" w:line="360" w:lineRule="auto"/>
        <w:jc w:val="both"/>
        <w:rPr>
          <w:rFonts w:asciiTheme="majorBidi" w:hAnsiTheme="majorBidi" w:cstheme="majorBidi"/>
          <w:b/>
          <w:bCs/>
          <w:sz w:val="24"/>
          <w:szCs w:val="24"/>
        </w:rPr>
      </w:pPr>
      <w:r w:rsidRPr="006A47B7">
        <w:rPr>
          <w:rFonts w:asciiTheme="majorBidi" w:hAnsiTheme="majorBidi" w:cstheme="majorBidi"/>
          <w:b/>
          <w:bCs/>
          <w:sz w:val="24"/>
          <w:szCs w:val="24"/>
        </w:rPr>
        <w:t>Results:</w:t>
      </w:r>
    </w:p>
    <w:p w14:paraId="0E7CFD73" w14:textId="77777777" w:rsidR="00922A6A" w:rsidRDefault="005039D9" w:rsidP="00507FDA">
      <w:pPr>
        <w:spacing w:before="240" w:after="24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The present study was conducted on 100 cases who were admitted to the ICU with hypovolemic shock. </w:t>
      </w:r>
      <w:r w:rsidR="00507FDA">
        <w:rPr>
          <w:rFonts w:asciiTheme="majorBidi" w:hAnsiTheme="majorBidi" w:cstheme="majorBidi"/>
          <w:sz w:val="24"/>
          <w:szCs w:val="24"/>
        </w:rPr>
        <w:t>Patients’ features are shown in</w:t>
      </w:r>
      <w:r w:rsidR="00507FDA" w:rsidRPr="00507FDA">
        <w:rPr>
          <w:rFonts w:asciiTheme="majorBidi" w:hAnsiTheme="majorBidi" w:cstheme="majorBidi"/>
          <w:b/>
          <w:bCs/>
          <w:sz w:val="24"/>
          <w:szCs w:val="24"/>
        </w:rPr>
        <w:t xml:space="preserve"> table 1</w:t>
      </w:r>
      <w:r w:rsidRPr="006A47B7">
        <w:rPr>
          <w:rFonts w:asciiTheme="majorBidi" w:hAnsiTheme="majorBidi" w:cstheme="majorBidi"/>
          <w:sz w:val="24"/>
          <w:szCs w:val="24"/>
        </w:rPr>
        <w:t>. Out of all studied cases, 49% received vasoactive drugs, while 51% did not., mean CVP was 6.9 cm H2O, ranged from 0 to 11 cmH2O; most of cases had CVP less than 10 cmH2O (76%), while only 24% had CVP equal or more than 10 cmH2O.</w:t>
      </w:r>
      <w:r w:rsidR="00E60581">
        <w:rPr>
          <w:rFonts w:asciiTheme="majorBidi" w:hAnsiTheme="majorBidi" w:cstheme="majorBidi"/>
          <w:sz w:val="24"/>
          <w:szCs w:val="24"/>
        </w:rPr>
        <w:t xml:space="preserve"> </w:t>
      </w:r>
      <w:r w:rsidRPr="006A47B7">
        <w:rPr>
          <w:rFonts w:asciiTheme="majorBidi" w:hAnsiTheme="majorBidi" w:cstheme="majorBidi"/>
          <w:sz w:val="24"/>
          <w:szCs w:val="24"/>
        </w:rPr>
        <w:t xml:space="preserve">Regarding the SVC </w:t>
      </w:r>
      <w:r w:rsidR="00507FDA">
        <w:rPr>
          <w:rFonts w:asciiTheme="majorBidi" w:hAnsiTheme="majorBidi" w:cstheme="majorBidi"/>
          <w:sz w:val="24"/>
          <w:szCs w:val="24"/>
        </w:rPr>
        <w:t>d</w:t>
      </w:r>
      <w:r w:rsidRPr="006A47B7">
        <w:rPr>
          <w:rFonts w:asciiTheme="majorBidi" w:hAnsiTheme="majorBidi" w:cstheme="majorBidi"/>
          <w:sz w:val="24"/>
          <w:szCs w:val="24"/>
        </w:rPr>
        <w:t xml:space="preserve">iameters </w:t>
      </w:r>
      <w:r w:rsidR="00E60581">
        <w:rPr>
          <w:rFonts w:asciiTheme="majorBidi" w:hAnsiTheme="majorBidi" w:cstheme="majorBidi"/>
          <w:sz w:val="24"/>
          <w:szCs w:val="24"/>
        </w:rPr>
        <w:t xml:space="preserve">, </w:t>
      </w:r>
      <w:r w:rsidRPr="006A47B7">
        <w:rPr>
          <w:rFonts w:asciiTheme="majorBidi" w:hAnsiTheme="majorBidi" w:cstheme="majorBidi"/>
          <w:sz w:val="24"/>
          <w:szCs w:val="24"/>
        </w:rPr>
        <w:t>the maximum diameter mean was 1.5 mm</w:t>
      </w:r>
      <w:r w:rsidR="00E60581">
        <w:rPr>
          <w:rFonts w:asciiTheme="majorBidi" w:hAnsiTheme="majorBidi" w:cstheme="majorBidi"/>
          <w:sz w:val="24"/>
          <w:szCs w:val="24"/>
        </w:rPr>
        <w:t>,</w:t>
      </w:r>
      <w:r w:rsidRPr="006A47B7">
        <w:rPr>
          <w:rFonts w:asciiTheme="majorBidi" w:hAnsiTheme="majorBidi" w:cstheme="majorBidi"/>
          <w:sz w:val="24"/>
          <w:szCs w:val="24"/>
        </w:rPr>
        <w:t xml:space="preserve"> while the minimum diameter mean was 1.1 mm and the SVC Collapsibility index mean was 28.9</w:t>
      </w:r>
      <w:r w:rsidR="00E60581">
        <w:rPr>
          <w:rFonts w:asciiTheme="majorBidi" w:hAnsiTheme="majorBidi" w:cstheme="majorBidi"/>
          <w:sz w:val="24"/>
          <w:szCs w:val="24"/>
        </w:rPr>
        <w:t xml:space="preserve"> and it ranged from 6.7% to 62%</w:t>
      </w:r>
      <w:r w:rsidR="00E60581" w:rsidRPr="00E60581">
        <w:rPr>
          <w:rFonts w:asciiTheme="majorBidi" w:hAnsiTheme="majorBidi" w:cstheme="majorBidi"/>
          <w:b/>
          <w:bCs/>
          <w:sz w:val="24"/>
          <w:szCs w:val="24"/>
        </w:rPr>
        <w:t xml:space="preserve"> (table 1).</w:t>
      </w:r>
      <w:r w:rsidR="00922A6A">
        <w:rPr>
          <w:rFonts w:asciiTheme="majorBidi" w:hAnsiTheme="majorBidi" w:cstheme="majorBidi"/>
          <w:b/>
          <w:bCs/>
          <w:sz w:val="24"/>
          <w:szCs w:val="24"/>
        </w:rPr>
        <w:t xml:space="preserve"> </w:t>
      </w:r>
      <w:r w:rsidR="00922A6A">
        <w:rPr>
          <w:rFonts w:asciiTheme="majorBidi" w:hAnsiTheme="majorBidi" w:cstheme="majorBidi"/>
          <w:sz w:val="24"/>
          <w:szCs w:val="24"/>
        </w:rPr>
        <w:t xml:space="preserve">High CVP was significantly associated with higher </w:t>
      </w:r>
      <w:proofErr w:type="spellStart"/>
      <w:r w:rsidR="00922A6A">
        <w:rPr>
          <w:rFonts w:asciiTheme="majorBidi" w:hAnsiTheme="majorBidi" w:cstheme="majorBidi"/>
          <w:sz w:val="24"/>
          <w:szCs w:val="24"/>
        </w:rPr>
        <w:t>dSVC</w:t>
      </w:r>
      <w:proofErr w:type="spellEnd"/>
      <w:r w:rsidR="00922A6A">
        <w:rPr>
          <w:rFonts w:asciiTheme="majorBidi" w:hAnsiTheme="majorBidi" w:cstheme="majorBidi"/>
          <w:sz w:val="24"/>
          <w:szCs w:val="24"/>
        </w:rPr>
        <w:t xml:space="preserve"> max, </w:t>
      </w:r>
      <w:proofErr w:type="spellStart"/>
      <w:r w:rsidR="00922A6A">
        <w:rPr>
          <w:rFonts w:asciiTheme="majorBidi" w:hAnsiTheme="majorBidi" w:cstheme="majorBidi"/>
          <w:sz w:val="24"/>
          <w:szCs w:val="24"/>
        </w:rPr>
        <w:t>dSVC</w:t>
      </w:r>
      <w:proofErr w:type="spellEnd"/>
      <w:r w:rsidR="00922A6A">
        <w:rPr>
          <w:rFonts w:asciiTheme="majorBidi" w:hAnsiTheme="majorBidi" w:cstheme="majorBidi"/>
          <w:sz w:val="24"/>
          <w:szCs w:val="24"/>
        </w:rPr>
        <w:t xml:space="preserve"> min, lower SVC-CI% </w:t>
      </w:r>
      <w:r w:rsidR="00922A6A" w:rsidRPr="00922A6A">
        <w:rPr>
          <w:rFonts w:asciiTheme="majorBidi" w:hAnsiTheme="majorBidi" w:cstheme="majorBidi"/>
          <w:b/>
          <w:bCs/>
          <w:sz w:val="24"/>
          <w:szCs w:val="24"/>
        </w:rPr>
        <w:t>(table 2</w:t>
      </w:r>
      <w:r w:rsidR="004C42DC">
        <w:rPr>
          <w:rFonts w:asciiTheme="majorBidi" w:hAnsiTheme="majorBidi" w:cstheme="majorBidi"/>
          <w:b/>
          <w:bCs/>
          <w:sz w:val="24"/>
          <w:szCs w:val="24"/>
        </w:rPr>
        <w:t>, figure 1</w:t>
      </w:r>
      <w:r w:rsidR="00922A6A" w:rsidRPr="00922A6A">
        <w:rPr>
          <w:rFonts w:asciiTheme="majorBidi" w:hAnsiTheme="majorBidi" w:cstheme="majorBidi"/>
          <w:b/>
          <w:bCs/>
          <w:sz w:val="24"/>
          <w:szCs w:val="24"/>
        </w:rPr>
        <w:t>).</w:t>
      </w:r>
    </w:p>
    <w:p w14:paraId="6C13D5F7" w14:textId="77777777" w:rsidR="00B51B47" w:rsidRPr="006A47B7" w:rsidRDefault="005039D9" w:rsidP="00507FDA">
      <w:pPr>
        <w:spacing w:before="240" w:after="240" w:line="360" w:lineRule="auto"/>
        <w:jc w:val="both"/>
        <w:rPr>
          <w:rFonts w:asciiTheme="majorBidi" w:hAnsiTheme="majorBidi" w:cstheme="majorBidi"/>
          <w:sz w:val="24"/>
          <w:szCs w:val="24"/>
        </w:rPr>
      </w:pPr>
      <w:r w:rsidRPr="006A47B7">
        <w:rPr>
          <w:rFonts w:asciiTheme="majorBidi" w:hAnsiTheme="majorBidi" w:cstheme="majorBidi"/>
          <w:sz w:val="24"/>
          <w:szCs w:val="24"/>
        </w:rPr>
        <w:t>CVP showed significant positive correlation with age, BMI, SBP, DBP, MAP, dSCV max, dSVC min, significant negative correlation with HR, and SVC-CI.</w:t>
      </w:r>
      <w:r w:rsidR="00922A6A">
        <w:rPr>
          <w:rFonts w:asciiTheme="majorBidi" w:hAnsiTheme="majorBidi" w:cstheme="majorBidi"/>
          <w:sz w:val="24"/>
          <w:szCs w:val="24"/>
        </w:rPr>
        <w:t xml:space="preserve"> While, t</w:t>
      </w:r>
      <w:r w:rsidRPr="006A47B7">
        <w:rPr>
          <w:rFonts w:asciiTheme="majorBidi" w:hAnsiTheme="majorBidi" w:cstheme="majorBidi"/>
          <w:sz w:val="24"/>
          <w:szCs w:val="24"/>
        </w:rPr>
        <w:t>he SVC-CI% showed significant negative correlation with age, SBP, DBP, MAP, dSVC max, dSVC min, significa</w:t>
      </w:r>
      <w:r w:rsidR="00922A6A">
        <w:rPr>
          <w:rFonts w:asciiTheme="majorBidi" w:hAnsiTheme="majorBidi" w:cstheme="majorBidi"/>
          <w:sz w:val="24"/>
          <w:szCs w:val="24"/>
        </w:rPr>
        <w:t>nt positive correlation with HR</w:t>
      </w:r>
      <w:r w:rsidR="00922A6A" w:rsidRPr="00922A6A">
        <w:rPr>
          <w:rFonts w:asciiTheme="majorBidi" w:hAnsiTheme="majorBidi" w:cstheme="majorBidi"/>
          <w:b/>
          <w:bCs/>
          <w:sz w:val="24"/>
          <w:szCs w:val="24"/>
        </w:rPr>
        <w:t xml:space="preserve"> (table 3</w:t>
      </w:r>
      <w:r w:rsidR="004C42DC">
        <w:rPr>
          <w:rFonts w:asciiTheme="majorBidi" w:hAnsiTheme="majorBidi" w:cstheme="majorBidi"/>
          <w:b/>
          <w:bCs/>
          <w:sz w:val="24"/>
          <w:szCs w:val="24"/>
        </w:rPr>
        <w:t>, figure 2</w:t>
      </w:r>
      <w:r w:rsidR="00922A6A" w:rsidRPr="00922A6A">
        <w:rPr>
          <w:rFonts w:asciiTheme="majorBidi" w:hAnsiTheme="majorBidi" w:cstheme="majorBidi"/>
          <w:b/>
          <w:bCs/>
          <w:sz w:val="24"/>
          <w:szCs w:val="24"/>
        </w:rPr>
        <w:t>).</w:t>
      </w:r>
    </w:p>
    <w:p w14:paraId="50045B3B" w14:textId="77777777" w:rsidR="00922A6A" w:rsidRDefault="00922A6A" w:rsidP="00507FDA">
      <w:pPr>
        <w:spacing w:before="240" w:after="240" w:line="360" w:lineRule="auto"/>
        <w:jc w:val="both"/>
        <w:rPr>
          <w:rFonts w:asciiTheme="majorBidi" w:hAnsiTheme="majorBidi" w:cstheme="majorBidi"/>
          <w:sz w:val="24"/>
          <w:szCs w:val="24"/>
        </w:rPr>
      </w:pPr>
      <w:r>
        <w:rPr>
          <w:rFonts w:asciiTheme="majorBidi" w:hAnsiTheme="majorBidi" w:cstheme="majorBidi"/>
          <w:sz w:val="24"/>
          <w:szCs w:val="24"/>
        </w:rPr>
        <w:t>Receiver operating characteristic (</w:t>
      </w:r>
      <w:r w:rsidR="005039D9" w:rsidRPr="006A47B7">
        <w:rPr>
          <w:rFonts w:asciiTheme="majorBidi" w:hAnsiTheme="majorBidi" w:cstheme="majorBidi"/>
          <w:sz w:val="24"/>
          <w:szCs w:val="24"/>
        </w:rPr>
        <w:t>ROC</w:t>
      </w:r>
      <w:r>
        <w:rPr>
          <w:rFonts w:asciiTheme="majorBidi" w:hAnsiTheme="majorBidi" w:cstheme="majorBidi"/>
          <w:sz w:val="24"/>
          <w:szCs w:val="24"/>
        </w:rPr>
        <w:t xml:space="preserve">) curve </w:t>
      </w:r>
      <w:r w:rsidR="005039D9" w:rsidRPr="006A47B7">
        <w:rPr>
          <w:rFonts w:asciiTheme="majorBidi" w:hAnsiTheme="majorBidi" w:cstheme="majorBidi"/>
          <w:sz w:val="24"/>
          <w:szCs w:val="24"/>
        </w:rPr>
        <w:t xml:space="preserve">of SVC-CI was conducted for discrimination between patients with CVP&lt;10 and patients with CVP≥10. The best cut-off point of the SVC-CI was 36.8% with (Sensitivity 27.6% and Specificity 87.5%). </w:t>
      </w:r>
      <w:r w:rsidRPr="00922A6A">
        <w:rPr>
          <w:rFonts w:asciiTheme="majorBidi" w:hAnsiTheme="majorBidi" w:cstheme="majorBidi"/>
          <w:b/>
          <w:bCs/>
          <w:sz w:val="24"/>
          <w:szCs w:val="24"/>
        </w:rPr>
        <w:t>Table 4</w:t>
      </w:r>
      <w:r>
        <w:rPr>
          <w:rFonts w:asciiTheme="majorBidi" w:hAnsiTheme="majorBidi" w:cstheme="majorBidi"/>
          <w:sz w:val="24"/>
          <w:szCs w:val="24"/>
        </w:rPr>
        <w:t xml:space="preserve"> shows various sensitivities and specificities of different cut off values.</w:t>
      </w:r>
    </w:p>
    <w:p w14:paraId="522CB748" w14:textId="77777777" w:rsidR="00B51B47" w:rsidRPr="006A47B7" w:rsidRDefault="00922A6A" w:rsidP="00507FDA">
      <w:pPr>
        <w:spacing w:before="240" w:after="240" w:line="360" w:lineRule="auto"/>
        <w:jc w:val="both"/>
        <w:rPr>
          <w:rFonts w:asciiTheme="majorBidi" w:hAnsiTheme="majorBidi" w:cstheme="majorBidi"/>
          <w:sz w:val="24"/>
          <w:szCs w:val="24"/>
        </w:rPr>
      </w:pPr>
      <w:r>
        <w:rPr>
          <w:rFonts w:asciiTheme="majorBidi" w:hAnsiTheme="majorBidi" w:cstheme="majorBidi"/>
          <w:sz w:val="24"/>
          <w:szCs w:val="24"/>
        </w:rPr>
        <w:t>L</w:t>
      </w:r>
      <w:r w:rsidR="005039D9" w:rsidRPr="006A47B7">
        <w:rPr>
          <w:rFonts w:asciiTheme="majorBidi" w:hAnsiTheme="majorBidi" w:cstheme="majorBidi"/>
          <w:sz w:val="24"/>
          <w:szCs w:val="24"/>
        </w:rPr>
        <w:t xml:space="preserve">ogistic regression analysis was conducted to predict factors affecting CVP, using  age, gender, BMI, SBP, DBP, MAP, HR and SVC-CI as covariates. Higher SBP, DBP, MAP, lower HR, SVC-CI were associated with prediction of </w:t>
      </w:r>
      <w:r>
        <w:rPr>
          <w:rFonts w:asciiTheme="majorBidi" w:hAnsiTheme="majorBidi" w:cstheme="majorBidi"/>
          <w:sz w:val="24"/>
          <w:szCs w:val="24"/>
        </w:rPr>
        <w:t xml:space="preserve">high </w:t>
      </w:r>
      <w:r w:rsidR="005039D9" w:rsidRPr="006A47B7">
        <w:rPr>
          <w:rFonts w:asciiTheme="majorBidi" w:hAnsiTheme="majorBidi" w:cstheme="majorBidi"/>
          <w:sz w:val="24"/>
          <w:szCs w:val="24"/>
        </w:rPr>
        <w:t xml:space="preserve">CVP in univariable analysis. While in multivariable analysis, only lower HR, SVC-CI were considered </w:t>
      </w:r>
      <w:r>
        <w:rPr>
          <w:rFonts w:asciiTheme="majorBidi" w:hAnsiTheme="majorBidi" w:cstheme="majorBidi"/>
          <w:sz w:val="24"/>
          <w:szCs w:val="24"/>
        </w:rPr>
        <w:t xml:space="preserve">independent </w:t>
      </w:r>
      <w:r w:rsidR="005039D9" w:rsidRPr="006A47B7">
        <w:rPr>
          <w:rFonts w:asciiTheme="majorBidi" w:hAnsiTheme="majorBidi" w:cstheme="majorBidi"/>
          <w:sz w:val="24"/>
          <w:szCs w:val="24"/>
        </w:rPr>
        <w:t>predictors for CVP≥10</w:t>
      </w:r>
      <w:r>
        <w:rPr>
          <w:rFonts w:asciiTheme="majorBidi" w:hAnsiTheme="majorBidi" w:cstheme="majorBidi"/>
          <w:sz w:val="24"/>
          <w:szCs w:val="24"/>
        </w:rPr>
        <w:t xml:space="preserve">, in order to make decision to stop fluid infusion </w:t>
      </w:r>
      <w:r w:rsidRPr="00922A6A">
        <w:rPr>
          <w:rFonts w:asciiTheme="majorBidi" w:hAnsiTheme="majorBidi" w:cstheme="majorBidi"/>
          <w:b/>
          <w:bCs/>
          <w:sz w:val="24"/>
          <w:szCs w:val="24"/>
        </w:rPr>
        <w:t>(table 5).</w:t>
      </w:r>
    </w:p>
    <w:p w14:paraId="18801EA0" w14:textId="77777777" w:rsidR="00B51B47" w:rsidRPr="006A47B7" w:rsidRDefault="005039D9" w:rsidP="00507FDA">
      <w:pPr>
        <w:spacing w:before="240" w:after="240" w:line="360" w:lineRule="auto"/>
        <w:jc w:val="both"/>
        <w:rPr>
          <w:rFonts w:asciiTheme="majorBidi" w:hAnsiTheme="majorBidi" w:cstheme="majorBidi"/>
          <w:b/>
          <w:bCs/>
          <w:sz w:val="24"/>
          <w:szCs w:val="24"/>
        </w:rPr>
      </w:pPr>
      <w:r w:rsidRPr="006A47B7">
        <w:rPr>
          <w:rFonts w:asciiTheme="majorBidi" w:hAnsiTheme="majorBidi" w:cstheme="majorBidi"/>
          <w:b/>
          <w:bCs/>
          <w:sz w:val="24"/>
          <w:szCs w:val="24"/>
        </w:rPr>
        <w:t>Discussion</w:t>
      </w:r>
    </w:p>
    <w:p w14:paraId="06238EF6" w14:textId="77777777" w:rsidR="00B51B47" w:rsidRPr="006A47B7" w:rsidRDefault="005039D9" w:rsidP="00556F63">
      <w:pPr>
        <w:spacing w:before="240" w:after="240" w:line="360" w:lineRule="auto"/>
        <w:jc w:val="both"/>
        <w:rPr>
          <w:rFonts w:asciiTheme="majorBidi" w:hAnsiTheme="majorBidi" w:cstheme="majorBidi"/>
          <w:sz w:val="24"/>
          <w:szCs w:val="24"/>
        </w:rPr>
      </w:pPr>
      <w:r w:rsidRPr="006A47B7">
        <w:rPr>
          <w:rFonts w:asciiTheme="majorBidi" w:hAnsiTheme="majorBidi" w:cstheme="majorBidi"/>
          <w:sz w:val="24"/>
          <w:szCs w:val="24"/>
        </w:rPr>
        <w:lastRenderedPageBreak/>
        <w:t>Hypovolemic shock occurs when there is decreased intravascular volume to the poin</w:t>
      </w:r>
      <w:r w:rsidR="00556F63">
        <w:rPr>
          <w:rFonts w:asciiTheme="majorBidi" w:hAnsiTheme="majorBidi" w:cstheme="majorBidi"/>
          <w:sz w:val="24"/>
          <w:szCs w:val="24"/>
        </w:rPr>
        <w:t xml:space="preserve">t of cardiovascular compromise </w:t>
      </w:r>
      <w:r w:rsidRPr="006A47B7">
        <w:rPr>
          <w:rFonts w:asciiTheme="majorBidi" w:hAnsiTheme="majorBidi" w:cstheme="majorBidi"/>
          <w:b/>
          <w:bCs/>
          <w:i/>
          <w:iCs/>
          <w:sz w:val="24"/>
          <w:szCs w:val="24"/>
        </w:rPr>
        <w:t>(3).</w:t>
      </w:r>
      <w:r w:rsidRPr="006A47B7">
        <w:rPr>
          <w:rFonts w:asciiTheme="majorBidi" w:hAnsiTheme="majorBidi" w:cstheme="majorBidi"/>
          <w:sz w:val="24"/>
          <w:szCs w:val="24"/>
        </w:rPr>
        <w:t xml:space="preserve"> </w:t>
      </w:r>
      <w:r w:rsidR="000B6885">
        <w:rPr>
          <w:rFonts w:asciiTheme="majorBidi" w:hAnsiTheme="majorBidi" w:cstheme="majorBidi"/>
          <w:sz w:val="24"/>
          <w:szCs w:val="24"/>
        </w:rPr>
        <w:t xml:space="preserve">Our study showed that </w:t>
      </w:r>
      <w:r w:rsidRPr="006A47B7">
        <w:rPr>
          <w:rFonts w:asciiTheme="majorBidi" w:hAnsiTheme="majorBidi" w:cstheme="majorBidi"/>
          <w:sz w:val="24"/>
          <w:szCs w:val="24"/>
        </w:rPr>
        <w:t xml:space="preserve">mean CVP was 6.9 cm H2O, ranged from 0 to 11 cmH2O; most of cases had CVP less than 10 cmH2O (76%), while only 24% had CVP equal or more than 10 cmH2O, while Cowie et al found thatThe median CVP in their sample was 10 mmHg with a range of 2 to 19 mmHg </w:t>
      </w:r>
      <w:r w:rsidRPr="006A47B7">
        <w:rPr>
          <w:rFonts w:asciiTheme="majorBidi" w:hAnsiTheme="majorBidi" w:cstheme="majorBidi"/>
          <w:b/>
          <w:bCs/>
          <w:i/>
          <w:iCs/>
          <w:sz w:val="24"/>
          <w:szCs w:val="24"/>
        </w:rPr>
        <w:t xml:space="preserve">(27). </w:t>
      </w:r>
      <w:r w:rsidRPr="006A47B7">
        <w:rPr>
          <w:rFonts w:asciiTheme="majorBidi" w:hAnsiTheme="majorBidi" w:cstheme="majorBidi"/>
          <w:sz w:val="24"/>
          <w:szCs w:val="24"/>
        </w:rPr>
        <w:t xml:space="preserve">The present study found that,  patients with </w:t>
      </w:r>
      <w:r w:rsidR="000B6885">
        <w:rPr>
          <w:rFonts w:asciiTheme="majorBidi" w:hAnsiTheme="majorBidi" w:cstheme="majorBidi"/>
          <w:sz w:val="24"/>
          <w:szCs w:val="24"/>
        </w:rPr>
        <w:t xml:space="preserve">high </w:t>
      </w:r>
      <w:r w:rsidRPr="006A47B7">
        <w:rPr>
          <w:rFonts w:asciiTheme="majorBidi" w:hAnsiTheme="majorBidi" w:cstheme="majorBidi"/>
          <w:sz w:val="24"/>
          <w:szCs w:val="24"/>
        </w:rPr>
        <w:t>CVP was significantly associated with higher SBP, DBP, MAP and significantly lower HR. All cases with CVP equal or higher than 10 received vasoactive drugs. Rahim-Taleghani et al found that, among patients under mechanical ventilation, pH and anion gap showed significant negative correlation) with CVP, but HCO3 showed a significant positive correlation with CVP</w:t>
      </w:r>
      <w:r w:rsidR="000B6885">
        <w:rPr>
          <w:rFonts w:asciiTheme="majorBidi" w:hAnsiTheme="majorBidi" w:cstheme="majorBidi"/>
          <w:sz w:val="24"/>
          <w:szCs w:val="24"/>
        </w:rPr>
        <w:t>.</w:t>
      </w:r>
      <w:r w:rsidRPr="006A47B7">
        <w:rPr>
          <w:rFonts w:asciiTheme="majorBidi" w:hAnsiTheme="majorBidi" w:cstheme="majorBidi"/>
          <w:sz w:val="24"/>
          <w:szCs w:val="24"/>
        </w:rPr>
        <w:t xml:space="preserve"> Whereas in patients without mechanical ventilation, only pH had a significant negative correlation with CVP </w:t>
      </w:r>
      <w:r w:rsidRPr="006A47B7">
        <w:rPr>
          <w:rFonts w:asciiTheme="majorBidi" w:hAnsiTheme="majorBidi" w:cstheme="majorBidi"/>
          <w:b/>
          <w:bCs/>
          <w:i/>
          <w:iCs/>
          <w:sz w:val="24"/>
          <w:szCs w:val="24"/>
        </w:rPr>
        <w:t xml:space="preserve">(28). </w:t>
      </w:r>
      <w:r w:rsidRPr="006A47B7">
        <w:rPr>
          <w:rFonts w:asciiTheme="majorBidi" w:hAnsiTheme="majorBidi" w:cstheme="majorBidi"/>
          <w:sz w:val="24"/>
          <w:szCs w:val="24"/>
        </w:rPr>
        <w:t xml:space="preserve">The present study demonstrated that, patients with </w:t>
      </w:r>
      <w:r w:rsidR="000B6885">
        <w:rPr>
          <w:rFonts w:asciiTheme="majorBidi" w:hAnsiTheme="majorBidi" w:cstheme="majorBidi"/>
          <w:sz w:val="24"/>
          <w:szCs w:val="24"/>
        </w:rPr>
        <w:t xml:space="preserve">high </w:t>
      </w:r>
      <w:r w:rsidRPr="006A47B7">
        <w:rPr>
          <w:rFonts w:asciiTheme="majorBidi" w:hAnsiTheme="majorBidi" w:cstheme="majorBidi"/>
          <w:sz w:val="24"/>
          <w:szCs w:val="24"/>
        </w:rPr>
        <w:t xml:space="preserve">CVP was significantly associated with higher SVC max and SVC min, </w:t>
      </w:r>
      <w:r w:rsidR="000B6885">
        <w:rPr>
          <w:rFonts w:asciiTheme="majorBidi" w:hAnsiTheme="majorBidi" w:cstheme="majorBidi"/>
          <w:sz w:val="24"/>
          <w:szCs w:val="24"/>
        </w:rPr>
        <w:t>lower</w:t>
      </w:r>
      <w:r w:rsidRPr="006A47B7">
        <w:rPr>
          <w:rFonts w:asciiTheme="majorBidi" w:hAnsiTheme="majorBidi" w:cstheme="majorBidi"/>
          <w:sz w:val="24"/>
          <w:szCs w:val="24"/>
        </w:rPr>
        <w:t xml:space="preserve"> SVC CI. Cowie et al found that, </w:t>
      </w:r>
      <w:r w:rsidR="000B6885">
        <w:rPr>
          <w:rFonts w:asciiTheme="majorBidi" w:hAnsiTheme="majorBidi" w:cstheme="majorBidi"/>
          <w:sz w:val="24"/>
          <w:szCs w:val="24"/>
        </w:rPr>
        <w:t>t</w:t>
      </w:r>
      <w:r w:rsidRPr="006A47B7">
        <w:rPr>
          <w:rFonts w:asciiTheme="majorBidi" w:hAnsiTheme="majorBidi" w:cstheme="majorBidi"/>
          <w:sz w:val="24"/>
          <w:szCs w:val="24"/>
        </w:rPr>
        <w:t>here was a weak, but statistically significant, correlation between CVP  and SVC collapsibility index (</w:t>
      </w:r>
      <w:r w:rsidRPr="006A47B7">
        <w:rPr>
          <w:rFonts w:asciiTheme="majorBidi" w:hAnsiTheme="majorBidi" w:cstheme="majorBidi"/>
          <w:b/>
          <w:bCs/>
          <w:i/>
          <w:iCs/>
          <w:sz w:val="24"/>
          <w:szCs w:val="24"/>
        </w:rPr>
        <w:t>27</w:t>
      </w:r>
      <w:r w:rsidRPr="006A47B7">
        <w:rPr>
          <w:rFonts w:asciiTheme="majorBidi" w:hAnsiTheme="majorBidi" w:cstheme="majorBidi"/>
          <w:sz w:val="24"/>
          <w:szCs w:val="24"/>
        </w:rPr>
        <w:t xml:space="preserve">). The present study revealed that, CVP showed significant positive correlation with </w:t>
      </w:r>
      <w:r w:rsidRPr="006A47B7">
        <w:rPr>
          <w:rFonts w:asciiTheme="majorBidi" w:hAnsiTheme="majorBidi" w:cstheme="majorBidi"/>
          <w:sz w:val="24"/>
          <w:szCs w:val="24"/>
        </w:rPr>
        <w:t>age, BMI, SBP, DBP, MAP, dSCV max, dSVC min, and significant negative correlation with HR, and SVC-CI. Cowie et al, found a lack of a relationship between the SVC diameter and CVP</w:t>
      </w:r>
      <w:r w:rsidRPr="006A47B7">
        <w:rPr>
          <w:rFonts w:asciiTheme="majorBidi" w:hAnsiTheme="majorBidi" w:cstheme="majorBidi"/>
          <w:b/>
          <w:bCs/>
          <w:i/>
          <w:iCs/>
          <w:sz w:val="24"/>
          <w:szCs w:val="24"/>
        </w:rPr>
        <w:t xml:space="preserve"> (27).</w:t>
      </w:r>
      <w:r w:rsidRPr="006A47B7">
        <w:rPr>
          <w:rFonts w:asciiTheme="majorBidi" w:hAnsiTheme="majorBidi" w:cstheme="majorBidi"/>
          <w:sz w:val="24"/>
          <w:szCs w:val="24"/>
        </w:rPr>
        <w:t xml:space="preserve"> </w:t>
      </w:r>
      <w:r w:rsidR="000B6885">
        <w:rPr>
          <w:rFonts w:asciiTheme="majorBidi" w:hAnsiTheme="majorBidi" w:cstheme="majorBidi"/>
          <w:sz w:val="24"/>
          <w:szCs w:val="24"/>
        </w:rPr>
        <w:t>Our</w:t>
      </w:r>
      <w:r w:rsidRPr="006A47B7">
        <w:rPr>
          <w:rFonts w:asciiTheme="majorBidi" w:hAnsiTheme="majorBidi" w:cstheme="majorBidi"/>
          <w:sz w:val="24"/>
          <w:szCs w:val="24"/>
        </w:rPr>
        <w:t xml:space="preserve"> results showed that, the SVC-CI% showed significant negative correlation with age, SBP, DBP, MAP, dSVC max, dSVC min, and significant positive correlation with HR. Before VE SVC collapsibility ranged from 0% to 100%, was weakly correl</w:t>
      </w:r>
      <w:r w:rsidR="000B6885">
        <w:rPr>
          <w:rFonts w:asciiTheme="majorBidi" w:hAnsiTheme="majorBidi" w:cstheme="majorBidi"/>
          <w:sz w:val="24"/>
          <w:szCs w:val="24"/>
        </w:rPr>
        <w:t>ated with SVC maximum diameter</w:t>
      </w:r>
      <w:r w:rsidRPr="006A47B7">
        <w:rPr>
          <w:rFonts w:asciiTheme="majorBidi" w:hAnsiTheme="majorBidi" w:cstheme="majorBidi"/>
          <w:sz w:val="24"/>
          <w:szCs w:val="24"/>
        </w:rPr>
        <w:t>, and was not correlated with central venous pressure. As well as Cowie et al found that, there was no statistically significant correlation between maximum SVC diameter and CVP Maximum SVC diameter was statistically significantly correlated with weight. There was no statistically significant correlation between CVP and age or body dimensions (</w:t>
      </w:r>
      <w:r w:rsidRPr="006A47B7">
        <w:rPr>
          <w:rFonts w:asciiTheme="majorBidi" w:hAnsiTheme="majorBidi" w:cstheme="majorBidi"/>
          <w:b/>
          <w:bCs/>
          <w:i/>
          <w:iCs/>
          <w:sz w:val="24"/>
          <w:szCs w:val="24"/>
        </w:rPr>
        <w:t xml:space="preserve">27). </w:t>
      </w:r>
      <w:r w:rsidRPr="006A47B7">
        <w:rPr>
          <w:rFonts w:asciiTheme="majorBidi" w:hAnsiTheme="majorBidi" w:cstheme="majorBidi"/>
          <w:sz w:val="24"/>
          <w:szCs w:val="24"/>
        </w:rPr>
        <w:t>Charbonneau et al had revealed that, the best cutoff value of SVC diameter to predict fluid responsiveness was 29% with a sensitivity of 54%</w:t>
      </w:r>
      <w:r w:rsidR="000B6885">
        <w:rPr>
          <w:rFonts w:asciiTheme="majorBidi" w:hAnsiTheme="majorBidi" w:cstheme="majorBidi"/>
          <w:sz w:val="24"/>
          <w:szCs w:val="24"/>
        </w:rPr>
        <w:t>,</w:t>
      </w:r>
      <w:r w:rsidRPr="006A47B7">
        <w:rPr>
          <w:rFonts w:asciiTheme="majorBidi" w:hAnsiTheme="majorBidi" w:cstheme="majorBidi"/>
          <w:sz w:val="24"/>
          <w:szCs w:val="24"/>
        </w:rPr>
        <w:t xml:space="preserve">  and a specificity of 94%. A poor correlation between ΔSVC and ΔCI was found. A ΔSVC &gt;36% used to discriminate between responders and non-responders with a sensitivity of 42%, a specificity of 100%</w:t>
      </w:r>
      <w:r w:rsidR="000B6885">
        <w:rPr>
          <w:rFonts w:asciiTheme="majorBidi" w:hAnsiTheme="majorBidi" w:cstheme="majorBidi"/>
          <w:sz w:val="24"/>
          <w:szCs w:val="24"/>
        </w:rPr>
        <w:t xml:space="preserve"> </w:t>
      </w:r>
      <w:r w:rsidRPr="006A47B7">
        <w:rPr>
          <w:rFonts w:asciiTheme="majorBidi" w:hAnsiTheme="majorBidi" w:cstheme="majorBidi"/>
          <w:sz w:val="24"/>
          <w:szCs w:val="24"/>
        </w:rPr>
        <w:t>(</w:t>
      </w:r>
      <w:r w:rsidRPr="006A47B7">
        <w:rPr>
          <w:rFonts w:asciiTheme="majorBidi" w:hAnsiTheme="majorBidi" w:cstheme="majorBidi"/>
          <w:b/>
          <w:bCs/>
          <w:i/>
          <w:iCs/>
          <w:sz w:val="24"/>
          <w:szCs w:val="24"/>
        </w:rPr>
        <w:t>29</w:t>
      </w:r>
      <w:r w:rsidRPr="006A47B7">
        <w:rPr>
          <w:rFonts w:asciiTheme="majorBidi" w:hAnsiTheme="majorBidi" w:cstheme="majorBidi"/>
          <w:sz w:val="24"/>
          <w:szCs w:val="24"/>
        </w:rPr>
        <w:t xml:space="preserve">). </w:t>
      </w:r>
      <w:r w:rsidR="005F0F78">
        <w:rPr>
          <w:rFonts w:asciiTheme="majorBidi" w:hAnsiTheme="majorBidi" w:cstheme="majorBidi"/>
          <w:sz w:val="24"/>
          <w:szCs w:val="24"/>
        </w:rPr>
        <w:t xml:space="preserve">We conducted a </w:t>
      </w:r>
      <w:r w:rsidRPr="006A47B7">
        <w:rPr>
          <w:rFonts w:asciiTheme="majorBidi" w:hAnsiTheme="majorBidi" w:cstheme="majorBidi"/>
          <w:sz w:val="24"/>
          <w:szCs w:val="24"/>
        </w:rPr>
        <w:t xml:space="preserve">ROC </w:t>
      </w:r>
      <w:r w:rsidR="00D517CE">
        <w:rPr>
          <w:rFonts w:asciiTheme="majorBidi" w:hAnsiTheme="majorBidi" w:cstheme="majorBidi"/>
          <w:sz w:val="24"/>
          <w:szCs w:val="24"/>
        </w:rPr>
        <w:t xml:space="preserve">curve </w:t>
      </w:r>
      <w:r w:rsidRPr="006A47B7">
        <w:rPr>
          <w:rFonts w:asciiTheme="majorBidi" w:hAnsiTheme="majorBidi" w:cstheme="majorBidi"/>
          <w:sz w:val="24"/>
          <w:szCs w:val="24"/>
        </w:rPr>
        <w:t xml:space="preserve">of SVC-CI for discrimination between patients with CVP&lt;10 and patients </w:t>
      </w:r>
      <w:r w:rsidRPr="006A47B7">
        <w:rPr>
          <w:rFonts w:asciiTheme="majorBidi" w:hAnsiTheme="majorBidi" w:cstheme="majorBidi"/>
          <w:sz w:val="24"/>
          <w:szCs w:val="24"/>
        </w:rPr>
        <w:lastRenderedPageBreak/>
        <w:t xml:space="preserve">with CVP≥10. The best cut-off point of the SVC-CI was 36.8% with (Sensitivity 27.6% and Specificity 87.5%) while Shalaby et al found in their study that, there was a significant correlation between CVP and the two studied ultrasound parameters, IVC CI and IVCdmax. </w:t>
      </w:r>
      <w:r w:rsidR="005F0F78">
        <w:rPr>
          <w:rFonts w:asciiTheme="majorBidi" w:hAnsiTheme="majorBidi" w:cstheme="majorBidi"/>
          <w:sz w:val="24"/>
          <w:szCs w:val="24"/>
        </w:rPr>
        <w:t xml:space="preserve">Others found that the </w:t>
      </w:r>
      <w:r w:rsidRPr="006A47B7">
        <w:rPr>
          <w:rFonts w:asciiTheme="majorBidi" w:hAnsiTheme="majorBidi" w:cstheme="majorBidi"/>
          <w:sz w:val="24"/>
          <w:szCs w:val="24"/>
        </w:rPr>
        <w:t xml:space="preserve">inferior vena cava collapsibility index (IVC CI) had the most favorable performance of the two ultrasound parameters in predicting CVP &lt; 10 cm H2O.  As regards prediction of fluid responsiveness, a better diagnostic accuracy of IVC collapsibility index and IVC diameter </w:t>
      </w:r>
      <w:r w:rsidR="00E41205">
        <w:rPr>
          <w:rFonts w:asciiTheme="majorBidi" w:hAnsiTheme="majorBidi" w:cstheme="majorBidi"/>
          <w:sz w:val="24"/>
          <w:szCs w:val="24"/>
        </w:rPr>
        <w:t xml:space="preserve">was found </w:t>
      </w:r>
      <w:r w:rsidRPr="006A47B7">
        <w:rPr>
          <w:rFonts w:asciiTheme="majorBidi" w:hAnsiTheme="majorBidi" w:cstheme="majorBidi"/>
          <w:sz w:val="24"/>
          <w:szCs w:val="24"/>
        </w:rPr>
        <w:t>for predicting fluid responsiveness (</w:t>
      </w:r>
      <w:r w:rsidRPr="006A47B7">
        <w:rPr>
          <w:rFonts w:asciiTheme="majorBidi" w:hAnsiTheme="majorBidi" w:cstheme="majorBidi"/>
          <w:b/>
          <w:bCs/>
          <w:i/>
          <w:iCs/>
          <w:sz w:val="24"/>
          <w:szCs w:val="24"/>
        </w:rPr>
        <w:t>30).</w:t>
      </w:r>
      <w:r w:rsidR="00A44291">
        <w:rPr>
          <w:rFonts w:asciiTheme="majorBidi" w:hAnsiTheme="majorBidi" w:cstheme="majorBidi"/>
          <w:b/>
          <w:bCs/>
          <w:i/>
          <w:iCs/>
          <w:sz w:val="24"/>
          <w:szCs w:val="24"/>
        </w:rPr>
        <w:t xml:space="preserve"> </w:t>
      </w:r>
      <w:r w:rsidR="00A44291" w:rsidRPr="00A44291">
        <w:rPr>
          <w:rFonts w:asciiTheme="majorBidi" w:hAnsiTheme="majorBidi" w:cstheme="majorBidi"/>
          <w:sz w:val="24"/>
          <w:szCs w:val="24"/>
        </w:rPr>
        <w:t>In the present study, f</w:t>
      </w:r>
      <w:r w:rsidRPr="00A44291">
        <w:rPr>
          <w:rFonts w:asciiTheme="majorBidi" w:hAnsiTheme="majorBidi" w:cstheme="majorBidi"/>
          <w:sz w:val="24"/>
          <w:szCs w:val="24"/>
        </w:rPr>
        <w:t>luid infusion was stop</w:t>
      </w:r>
      <w:r w:rsidR="00A44291">
        <w:rPr>
          <w:rFonts w:asciiTheme="majorBidi" w:hAnsiTheme="majorBidi" w:cstheme="majorBidi"/>
          <w:sz w:val="24"/>
          <w:szCs w:val="24"/>
        </w:rPr>
        <w:t>ped if CVP increased to a value</w:t>
      </w:r>
      <w:r w:rsidRPr="00A44291">
        <w:rPr>
          <w:rFonts w:asciiTheme="majorBidi" w:hAnsiTheme="majorBidi" w:cstheme="majorBidi"/>
          <w:sz w:val="24"/>
          <w:szCs w:val="24"/>
        </w:rPr>
        <w:t>≥12 cm, so logistic</w:t>
      </w:r>
      <w:r w:rsidRPr="006A47B7">
        <w:rPr>
          <w:rFonts w:asciiTheme="majorBidi" w:hAnsiTheme="majorBidi" w:cstheme="majorBidi"/>
          <w:sz w:val="24"/>
          <w:szCs w:val="24"/>
        </w:rPr>
        <w:t xml:space="preserve"> regression analysis was conducted to predict factors affecting CVP,using age, gender, BMI, SBP, DBP, MAP, HR and SVC-CI as covariates. Higher SBP, DBP, MAP, lower HR, SVC-CI were associated with prediction of CVP equal or more than 10 in univariable analysis. While in multivariable analysis, only lower HR, SVC-CI was considered predictors for CVP≥10</w:t>
      </w:r>
      <w:r w:rsidR="00A44291">
        <w:rPr>
          <w:rFonts w:asciiTheme="majorBidi" w:hAnsiTheme="majorBidi" w:cstheme="majorBidi"/>
          <w:sz w:val="24"/>
          <w:szCs w:val="24"/>
        </w:rPr>
        <w:t>, in order to make decision to stop fluid infusion</w:t>
      </w:r>
      <w:r w:rsidRPr="006A47B7">
        <w:rPr>
          <w:rFonts w:asciiTheme="majorBidi" w:hAnsiTheme="majorBidi" w:cstheme="majorBidi"/>
          <w:sz w:val="24"/>
          <w:szCs w:val="24"/>
        </w:rPr>
        <w:t xml:space="preserve">. Cheng and his colleagues revealed that, ultrasound SVC measurements were predictive indicators of fluid responsiveness, and the minimal SVC diameter was a slightly more effective </w:t>
      </w:r>
      <w:r w:rsidRPr="006A47B7">
        <w:rPr>
          <w:rFonts w:asciiTheme="majorBidi" w:hAnsiTheme="majorBidi" w:cstheme="majorBidi"/>
          <w:sz w:val="24"/>
          <w:szCs w:val="24"/>
        </w:rPr>
        <w:t>indicator than the SVC variation and maximal SVC diameter. The optimal cutoff value for the minimal SVC diameter, with sensitivity of 87.2% and specificity of 88.0%, was 1.135 cm. Furthermore, the AUC for the minimal SVC diameter was 0.929. The SVC variation decreased significantly after volume expansion. Meanwhile, the CVP had no statistically significant difference before and after the fluid challenge (</w:t>
      </w:r>
      <w:r w:rsidRPr="006A47B7">
        <w:rPr>
          <w:rFonts w:asciiTheme="majorBidi" w:hAnsiTheme="majorBidi" w:cstheme="majorBidi"/>
          <w:b/>
          <w:bCs/>
          <w:i/>
          <w:iCs/>
          <w:sz w:val="24"/>
          <w:szCs w:val="24"/>
        </w:rPr>
        <w:t xml:space="preserve">31). </w:t>
      </w:r>
      <w:r w:rsidRPr="006A47B7">
        <w:rPr>
          <w:rFonts w:asciiTheme="majorBidi" w:hAnsiTheme="majorBidi" w:cstheme="majorBidi"/>
          <w:sz w:val="24"/>
          <w:szCs w:val="24"/>
        </w:rPr>
        <w:t>SVC-CI had a more significant correlation coefficient with cardiac output, a larger AUC, and a smaller gray zone than dIVC and SVCV, indicating that the respiratory variation of SVC is superior to dIVC and SVC cardiac variation in predicting volume responsiveness</w:t>
      </w:r>
      <w:r w:rsidRPr="006A47B7">
        <w:rPr>
          <w:rFonts w:asciiTheme="majorBidi" w:hAnsiTheme="majorBidi" w:cstheme="majorBidi"/>
          <w:b/>
          <w:bCs/>
          <w:i/>
          <w:iCs/>
          <w:sz w:val="24"/>
          <w:szCs w:val="24"/>
        </w:rPr>
        <w:t xml:space="preserve"> (32).</w:t>
      </w:r>
      <w:r w:rsidRPr="006A47B7">
        <w:rPr>
          <w:rFonts w:asciiTheme="majorBidi" w:hAnsiTheme="majorBidi" w:cstheme="majorBidi"/>
          <w:sz w:val="24"/>
          <w:szCs w:val="24"/>
        </w:rPr>
        <w:t xml:space="preserve"> Limitations of the present study is that its observational nature as well as lacking similar studies that compare measurements of SVC diameter as well as collapsibility index with CVP which made our results biased. </w:t>
      </w:r>
      <w:r w:rsidR="00A44291">
        <w:rPr>
          <w:rFonts w:asciiTheme="majorBidi" w:hAnsiTheme="majorBidi" w:cstheme="majorBidi"/>
          <w:sz w:val="24"/>
          <w:szCs w:val="24"/>
        </w:rPr>
        <w:t>In addition, recording data before and after fluid infusion is recommended in further studies.</w:t>
      </w:r>
    </w:p>
    <w:p w14:paraId="1D3014A3" w14:textId="77777777" w:rsidR="00B51B47" w:rsidRPr="006A47B7" w:rsidRDefault="005039D9" w:rsidP="00507FDA">
      <w:pPr>
        <w:spacing w:before="240" w:after="240" w:line="360" w:lineRule="auto"/>
        <w:jc w:val="both"/>
        <w:rPr>
          <w:rFonts w:asciiTheme="majorBidi" w:hAnsiTheme="majorBidi" w:cstheme="majorBidi"/>
          <w:sz w:val="24"/>
          <w:szCs w:val="24"/>
        </w:rPr>
      </w:pPr>
      <w:r w:rsidRPr="006A47B7">
        <w:rPr>
          <w:rFonts w:asciiTheme="majorBidi" w:hAnsiTheme="majorBidi" w:cstheme="majorBidi"/>
          <w:sz w:val="24"/>
          <w:szCs w:val="24"/>
        </w:rPr>
        <w:t>In conclusions, the CVP remains the most frequently used variable to guide fluid resuscitation i</w:t>
      </w:r>
      <w:r w:rsidR="00A44291">
        <w:rPr>
          <w:rFonts w:asciiTheme="majorBidi" w:hAnsiTheme="majorBidi" w:cstheme="majorBidi"/>
          <w:sz w:val="24"/>
          <w:szCs w:val="24"/>
        </w:rPr>
        <w:t xml:space="preserve">n critically ill patients. SVC </w:t>
      </w:r>
      <w:r w:rsidRPr="006A47B7">
        <w:rPr>
          <w:rFonts w:asciiTheme="majorBidi" w:hAnsiTheme="majorBidi" w:cstheme="majorBidi"/>
          <w:sz w:val="24"/>
          <w:szCs w:val="24"/>
        </w:rPr>
        <w:t xml:space="preserve">diameter and collapsibility with positive pressure ventilation is a potentially attractive method of non-invasively estimating CVP. </w:t>
      </w:r>
      <w:r w:rsidRPr="006A47B7">
        <w:rPr>
          <w:rFonts w:asciiTheme="majorBidi" w:hAnsiTheme="majorBidi" w:cstheme="majorBidi"/>
          <w:sz w:val="24"/>
          <w:szCs w:val="24"/>
        </w:rPr>
        <w:lastRenderedPageBreak/>
        <w:t>SVC-CI can be used as a predictor for CVP measurement.</w:t>
      </w:r>
    </w:p>
    <w:p w14:paraId="58947D91" w14:textId="77777777" w:rsidR="00B51B47" w:rsidRPr="006A47B7" w:rsidRDefault="005039D9" w:rsidP="00507FDA">
      <w:pPr>
        <w:spacing w:before="240" w:after="240" w:line="360" w:lineRule="auto"/>
        <w:jc w:val="both"/>
        <w:rPr>
          <w:rFonts w:asciiTheme="majorBidi" w:hAnsiTheme="majorBidi" w:cstheme="majorBidi"/>
          <w:b/>
          <w:bCs/>
          <w:sz w:val="24"/>
          <w:szCs w:val="24"/>
        </w:rPr>
      </w:pPr>
      <w:r w:rsidRPr="006A47B7">
        <w:rPr>
          <w:rFonts w:asciiTheme="majorBidi" w:hAnsiTheme="majorBidi" w:cstheme="majorBidi"/>
          <w:b/>
          <w:bCs/>
          <w:sz w:val="24"/>
          <w:szCs w:val="24"/>
        </w:rPr>
        <w:t>References</w:t>
      </w:r>
    </w:p>
    <w:p w14:paraId="53A20109"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1-Haseer Koya H, Paul M. Shock. [Updated 2021 Jul 26]. In: StatPearls [Internet]. Treasure Island (FL): StatPearls Publishing; 2022 Jan.</w:t>
      </w:r>
    </w:p>
    <w:p w14:paraId="090E9C8D"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2-Vincent JL, De Backer D. Circulatory shock. N Engl J Med. 2014 Feb 06;370(6):583.</w:t>
      </w:r>
    </w:p>
    <w:p w14:paraId="10987E61"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3-Hooper N, Armstrong TJ. StatPearls [Internet]. StatPearls Publishing; Treasure Island (FL): Jul 13, 2021. Hemorrhagic Shock</w:t>
      </w:r>
    </w:p>
    <w:p w14:paraId="453508B5"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4-Taghavi S, Askari R. Hypovolemic Shock. [Updated 2022 May 1]. In: StatPearls [Internet]. Treasure Island (FL): StatPearls Publishing; 2022 Jan-.</w:t>
      </w:r>
    </w:p>
    <w:p w14:paraId="1E9BEDCF"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5-Annane D, Siami S, Jaber S, Martin C, Elatrous S, Declère AD, Preiser JC, Outin H, Troché G, Charpentier C, Trouillet JL, Kimmoun A, Forceville X, Darmon M, Lesur O, Reignier J, Régnier J, Abroug F, Berger P, Clec'h C, Cle'h C, Cousson J, Thibault L, Chevret S., CRISTAL Investigators. Effects of fluid resuscitation with colloids vs crystalloids on mortality in critically ill patients presenting with </w:t>
      </w:r>
      <w:r w:rsidRPr="006A47B7">
        <w:rPr>
          <w:rFonts w:asciiTheme="majorBidi" w:hAnsiTheme="majorBidi" w:cstheme="majorBidi"/>
          <w:sz w:val="24"/>
          <w:szCs w:val="24"/>
        </w:rPr>
        <w:t>hypovolemic shock: the CRISTAL randomized trial. JAMA. 2013 Nov 06;310(17):1809-17.</w:t>
      </w:r>
    </w:p>
    <w:p w14:paraId="5EFEE0CF"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6-Zhang Z, Xu X, Ye S, Xu L. Ultrasonographic measurement of the respiratory variation in the inferior vena cava diameter is predictive of fluid responsiveness in critically ill patients: systematic review and meta-analysis. Ultrasound Med Biol. 2014; 40:845–53.</w:t>
      </w:r>
    </w:p>
    <w:p w14:paraId="73035165"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7-Zarychanski R, Abou-Setta AM, Turgeon AF, Houston BL, McIntyre L, Marshall JC, Fergusson DA. Association of hydroxyethyl starch administration with mortality and acute kidney injury in critically ill patients requiring volume resuscitation: a systematic review and meta-analysis. JAMA. 2013 Feb 20;309(7):678-88.</w:t>
      </w:r>
    </w:p>
    <w:p w14:paraId="6156749E"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8-Yunos NM, Bellomo R, Glassford N, Sutcliffe H, Lam Q, Bailey M. Chloride-liberal vs. chloride-restrictive intravenous fluid administration and acute kidney injury: an extended analysis. Intensive Care Med. 2015 Feb;41(2):257-64. </w:t>
      </w:r>
    </w:p>
    <w:p w14:paraId="4CC4C503"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9-Russell PS, Hong J, Windsor JA, Itkin M, Phillips ARJ. Renal Lymphatics: Anatomy, Physiology, and Clinical Implications. Front Physiol. 2019; 10:251. </w:t>
      </w:r>
    </w:p>
    <w:p w14:paraId="33C6E858"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lastRenderedPageBreak/>
        <w:t>10-Senthelal S, Maingi M. StatPearls [Internet]. StatPearls Publishing; Treasure Island (FL): Feb 8, 2021. Physiology, Jugular Venous Pulsation.</w:t>
      </w:r>
    </w:p>
    <w:p w14:paraId="70CC5327"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11-Govender J, Postma I, Wood D, Sibanda W. Is there an association between central venous pressure measurement and ultrasound assessment of the inferior vena cava? Afr J Emerg Med. 2018 Sep;8(3):106-109.</w:t>
      </w:r>
      <w:r w:rsidRPr="006A47B7">
        <w:rPr>
          <w:rFonts w:asciiTheme="majorBidi" w:hAnsiTheme="majorBidi" w:cstheme="majorBidi"/>
          <w:sz w:val="24"/>
          <w:szCs w:val="24"/>
        </w:rPr>
        <w:tab/>
      </w:r>
    </w:p>
    <w:p w14:paraId="699F018A"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12-Berlin DA, Bakker J. Starling curves and central venous pressure. Crit Care. 2015 Feb 16; 19:55. </w:t>
      </w:r>
    </w:p>
    <w:p w14:paraId="140B0D70"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13-Behem CR, Gräßler MF, Trepte CJC. [Central venous pressure in liver surgery: A primary therapeutic goal or a hemodynamic tessera?] Anaesthesist. 2018 Oct;67(10):780-789. </w:t>
      </w:r>
    </w:p>
    <w:p w14:paraId="070F304C"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14-Zhang H, Wang X, Chen X, Zhang Q, Liu D. Tricuspid annular plane systolic excursion and central venous pressure in mechanically ventilated critically ill patients. Cardiovasc Ultrasound. 2018 Aug 07;16(1):11. </w:t>
      </w:r>
    </w:p>
    <w:p w14:paraId="6CBC8655"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15-Mandeville JC, Colebourn CL. Can transthoracic echocardiography be used to predict fluid responsiveness in the critically </w:t>
      </w:r>
      <w:r w:rsidRPr="006A47B7">
        <w:rPr>
          <w:rFonts w:asciiTheme="majorBidi" w:hAnsiTheme="majorBidi" w:cstheme="majorBidi"/>
          <w:sz w:val="24"/>
          <w:szCs w:val="24"/>
        </w:rPr>
        <w:t>ill patient? A systematic review. Crit Care Res Pract. 2012; 2012:513480. </w:t>
      </w:r>
    </w:p>
    <w:p w14:paraId="177A69F6"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16-Nascimbene A, Angelini P. Superior vena cava thrombosis and paradoxical embolic stroke due to collateral drainage from the brachiocephalic vein to the left atrium. Tex Heart Inst J. 2011;38(2):170-3.</w:t>
      </w:r>
    </w:p>
    <w:p w14:paraId="4E3FB83D"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17-Brusasco C, Tavazzi G, Robba C, Santori G, Vezzani A, Manca T, Corradi F. Splenic Doppler Resistive Index Variation Mirrors Cardiac Responsiveness and Systemic Hemodynamics upon Fluid Challenge Resuscitation in Postoperative Mechanically Ventilated Patients. Biomed Res Int. 2018; 2018:1978968.</w:t>
      </w:r>
    </w:p>
    <w:p w14:paraId="7D8BED00"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18-Guarracino F, Ferro B, Forfori F, Bertini P, Magliacano L, Pinsky M. Jugular vein distensibility predicts fluid responsiveness in septic patients. Critical care (London, England). 2014; 18:647.</w:t>
      </w:r>
    </w:p>
    <w:p w14:paraId="7C1007F7"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19-Ma GG, Tu GW, Zheng JL, Zhu DM, Hao GW, Hou JY, Su Y, Luo JC, Liu K, Luo Z. Changes in Stroke Volume Variation Induced by Passive Leg Raising to Predict Fluid Responsiveness in Cardiac Surgical Patients with Protective Ventilation. J Cardiothorac Vasc Anesth. 2020; 34:1526–33. </w:t>
      </w:r>
    </w:p>
    <w:p w14:paraId="0E0E8F63"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lastRenderedPageBreak/>
        <w:t>20-Yang X, Du B. Does pulse pressure variation predict fluid responsiveness in critically ill patients? A systematic review and meta-analysis. Crit Care. 2014; 18:650.</w:t>
      </w:r>
    </w:p>
    <w:p w14:paraId="5F9F77CB"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21-Ramsingh D, Rinehart J, Kain Z, Strom S, Canales C, Alexander B, Capatina A, Ma M, Le K, Cannesson M. Impact assessment of perioperative point-of-care ultrasound training on anesthesiology residents. Anesthesiology. 2015; 123:670–82.</w:t>
      </w:r>
    </w:p>
    <w:p w14:paraId="03C394BF"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22-Cheng Z, Yang Q, Zhu P, Feng J, Zhang X, Zhao Z. Transesophageal Echocardiographic Measurements of the Superior Vena Cava for Predicting Fluid Responsiveness in Patients Undergoing Invasive Positive Pressure Ventilation. J Ultrasound Med. 2019; 38:1519–25.</w:t>
      </w:r>
    </w:p>
    <w:p w14:paraId="012E0961"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23-Ugalde D, Haruel P, Godement M, Prigent A, Vieillard-Baron A. Transthoracic echocardiography to evaluate the superior vena cava in critically ill patients: window description and pilot study. Intensive Care Med. 2019; 45:1052–4.</w:t>
      </w:r>
    </w:p>
    <w:p w14:paraId="5E2A853C"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24-Benes J, Chytra I, Altmann P, Hluchy M, Kasal E, Svitak R, Pradl R, Stepan M. Intraoperative fluid optimization using stroke volume variation in high-risk surgical patients: results of prospective randomized study. Crit Care. 2010;14(3): R118.</w:t>
      </w:r>
    </w:p>
    <w:p w14:paraId="20463514"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25-Vieillard-Baron A, Chergui K, Rabiller A, Peyrouset O, Page B, Beauchet A et al. Superior vena caval collapsibility as a gauge of volume status in ventilated septic patients. Intensive Care Med 2004; 30:1734-1739. </w:t>
      </w:r>
    </w:p>
    <w:p w14:paraId="406EFCE2"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26-Rudski LG. Point: can Doppler echocardiography estimates of pulmonary artery systolic pressures be relied upon to accurately make the diagnosis of pulmonary hypertension? Yes. Chest 2013; 143:1533-1536.</w:t>
      </w:r>
    </w:p>
    <w:p w14:paraId="7CE841EA"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27-Cowie BS, Kluger R,  Rex S,  Missant C. The relationship between superior vena cava diameter and Collapsibility and central venous pressure Anaesth Intensive Care 2015 | 43:3.</w:t>
      </w:r>
    </w:p>
    <w:p w14:paraId="7535A9B6"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28-Rahim-Taleghani, S., Fatemi, A., Alavi Moghaddam, M., Shojaee, M., Abushouk, A. I., Forouzanfar, M. M., &amp; Baratloo, A. (2016). Correlation of central venous pressure with venous blood gas analysis parameters; a diagnostic study. Turkish journal of emergency medicine, 17(1), 7–11. 29-Charbonneau H, Riu B, Faron M, Mari A, Kurrek M, Ruiz J, Geeraerts T, Fourcade O, Genestal M and Silva S. Predicting preload responsiveness using simultaneous </w:t>
      </w:r>
      <w:r w:rsidRPr="006A47B7">
        <w:rPr>
          <w:rFonts w:asciiTheme="majorBidi" w:hAnsiTheme="majorBidi" w:cstheme="majorBidi"/>
          <w:sz w:val="24"/>
          <w:szCs w:val="24"/>
        </w:rPr>
        <w:lastRenderedPageBreak/>
        <w:t xml:space="preserve">recordings of inferior and superior vena cavae diameters Critical Care 2014, </w:t>
      </w:r>
    </w:p>
    <w:p w14:paraId="26BCA720"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30-Shalaby M; Roshdy H; Elmahdy W; El Mezayen A. Correlation between Central Venous Pressure and the Diameter of Inferior Vena Cava by using Ultrasonography for the Assessment of the Fluid Status in Intensive Care Unit Patients Article 6, Volume 72, Issue 10, July 2018, Page 5375-5384. </w:t>
      </w:r>
    </w:p>
    <w:p w14:paraId="2E6441C8"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 xml:space="preserve">31-Cheng Z,  Yang Q, , Zhu P, Feng J,  Zhang X,  Zhao Z. Trans esophageal </w:t>
      </w:r>
      <w:r w:rsidRPr="006A47B7">
        <w:rPr>
          <w:rFonts w:asciiTheme="majorBidi" w:hAnsiTheme="majorBidi" w:cstheme="majorBidi"/>
          <w:sz w:val="24"/>
          <w:szCs w:val="24"/>
        </w:rPr>
        <w:t>Echocardiographic Measurements of the Superior Vena Cava for Predicting Fluid Responsiveness in Patients Undergoing Invasive Positive Pressure Ventilation J Ultrasound Med 2019; 38:1519–1525.</w:t>
      </w:r>
    </w:p>
    <w:p w14:paraId="573C5040" w14:textId="77777777" w:rsidR="00B51B47" w:rsidRPr="006A47B7" w:rsidRDefault="005039D9" w:rsidP="00507FDA">
      <w:pPr>
        <w:spacing w:before="240" w:after="200" w:line="360" w:lineRule="auto"/>
        <w:jc w:val="both"/>
        <w:rPr>
          <w:rFonts w:asciiTheme="majorBidi" w:hAnsiTheme="majorBidi" w:cstheme="majorBidi"/>
          <w:sz w:val="24"/>
          <w:szCs w:val="24"/>
        </w:rPr>
      </w:pPr>
      <w:r w:rsidRPr="006A47B7">
        <w:rPr>
          <w:rFonts w:asciiTheme="majorBidi" w:hAnsiTheme="majorBidi" w:cstheme="majorBidi"/>
          <w:sz w:val="24"/>
          <w:szCs w:val="24"/>
        </w:rPr>
        <w:t>32-Ma Q, Ji J, Shi X, Lu Z, Xu L, Hao J, Zhu W, Li B. Comparison of superior and inferior vena cava diameter variation measured with transthoracic echocardiography to predict fluid responsiveness in mechanically ventilated patients after abdominal surgery. BMC Anesthesiol. 2022 May 17;22(1):150.</w:t>
      </w:r>
    </w:p>
    <w:p w14:paraId="3FDF82BD" w14:textId="77777777" w:rsidR="007F2F5B" w:rsidRDefault="007F2F5B" w:rsidP="00507FDA">
      <w:pPr>
        <w:spacing w:before="240" w:after="200" w:line="360" w:lineRule="auto"/>
        <w:jc w:val="both"/>
        <w:rPr>
          <w:rFonts w:asciiTheme="majorBidi" w:hAnsiTheme="majorBidi" w:cstheme="majorBidi"/>
          <w:sz w:val="24"/>
          <w:szCs w:val="24"/>
        </w:rPr>
        <w:sectPr w:rsidR="007F2F5B" w:rsidSect="007F2F5B">
          <w:type w:val="continuous"/>
          <w:pgSz w:w="12240" w:h="15840"/>
          <w:pgMar w:top="1440" w:right="1440" w:bottom="1440" w:left="1440" w:header="720" w:footer="720" w:gutter="0"/>
          <w:cols w:num="2" w:space="720"/>
          <w:docGrid w:linePitch="360"/>
        </w:sectPr>
      </w:pPr>
    </w:p>
    <w:p w14:paraId="7CA75E2E" w14:textId="77777777" w:rsidR="00B51B47" w:rsidRPr="006A47B7" w:rsidRDefault="00B51B47" w:rsidP="00507FDA">
      <w:pPr>
        <w:spacing w:before="240" w:after="200" w:line="360" w:lineRule="auto"/>
        <w:jc w:val="both"/>
        <w:rPr>
          <w:rFonts w:asciiTheme="majorBidi" w:hAnsiTheme="majorBidi" w:cstheme="majorBidi"/>
          <w:sz w:val="24"/>
          <w:szCs w:val="24"/>
        </w:rPr>
      </w:pPr>
    </w:p>
    <w:p w14:paraId="3BD4FC87" w14:textId="77777777" w:rsidR="00B51B47" w:rsidRPr="006A47B7" w:rsidRDefault="00B51B47" w:rsidP="00507FDA">
      <w:pPr>
        <w:spacing w:before="240" w:after="200" w:line="360" w:lineRule="auto"/>
        <w:jc w:val="both"/>
        <w:rPr>
          <w:rFonts w:asciiTheme="majorBidi" w:hAnsiTheme="majorBidi" w:cstheme="majorBidi"/>
          <w:sz w:val="24"/>
          <w:szCs w:val="24"/>
        </w:rPr>
      </w:pPr>
    </w:p>
    <w:p w14:paraId="74E89D95" w14:textId="77777777" w:rsidR="003E5124" w:rsidRPr="006A47B7" w:rsidRDefault="003E5124" w:rsidP="00507FDA">
      <w:pPr>
        <w:spacing w:line="360" w:lineRule="auto"/>
        <w:rPr>
          <w:rFonts w:asciiTheme="majorBidi" w:eastAsia="Times New Roman" w:hAnsiTheme="majorBidi" w:cstheme="majorBidi"/>
          <w:color w:val="000000"/>
          <w:sz w:val="24"/>
          <w:szCs w:val="24"/>
          <w:shd w:val="clear" w:color="FFFFFF" w:fill="auto"/>
        </w:rPr>
      </w:pPr>
      <w:r w:rsidRPr="006A47B7">
        <w:rPr>
          <w:rFonts w:asciiTheme="majorBidi" w:eastAsia="Times New Roman" w:hAnsiTheme="majorBidi" w:cstheme="majorBidi"/>
          <w:color w:val="000000"/>
          <w:sz w:val="24"/>
          <w:szCs w:val="24"/>
          <w:shd w:val="clear" w:color="FFFFFF" w:fill="auto"/>
        </w:rPr>
        <w:br w:type="page"/>
      </w:r>
    </w:p>
    <w:p w14:paraId="1AF25577" w14:textId="77777777" w:rsidR="00B51B47" w:rsidRPr="00E60581" w:rsidRDefault="005039D9" w:rsidP="00507FDA">
      <w:pPr>
        <w:spacing w:line="360" w:lineRule="auto"/>
        <w:rPr>
          <w:rFonts w:asciiTheme="majorBidi" w:hAnsiTheme="majorBidi" w:cstheme="majorBidi"/>
          <w:b/>
          <w:bCs/>
          <w:sz w:val="24"/>
          <w:szCs w:val="24"/>
        </w:rPr>
      </w:pPr>
      <w:r w:rsidRPr="00E60581">
        <w:rPr>
          <w:rFonts w:asciiTheme="majorBidi" w:eastAsia="Times New Roman" w:hAnsiTheme="majorBidi" w:cstheme="majorBidi"/>
          <w:b/>
          <w:bCs/>
          <w:color w:val="000000"/>
          <w:sz w:val="24"/>
          <w:szCs w:val="24"/>
          <w:shd w:val="clear" w:color="FFFFFF" w:fill="auto"/>
        </w:rPr>
        <w:lastRenderedPageBreak/>
        <w:t>Table (</w:t>
      </w:r>
      <w:r w:rsidR="000217C4" w:rsidRPr="00E60581">
        <w:rPr>
          <w:rFonts w:asciiTheme="majorBidi" w:eastAsia="Times New Roman" w:hAnsiTheme="majorBidi" w:cstheme="majorBidi"/>
          <w:b/>
          <w:bCs/>
          <w:color w:val="000000"/>
          <w:sz w:val="24"/>
          <w:szCs w:val="24"/>
          <w:shd w:val="clear" w:color="FFFFFF" w:fill="auto"/>
        </w:rPr>
        <w:t>1</w:t>
      </w:r>
      <w:r w:rsidRPr="00E60581">
        <w:rPr>
          <w:rFonts w:asciiTheme="majorBidi" w:eastAsia="Times New Roman" w:hAnsiTheme="majorBidi" w:cstheme="majorBidi"/>
          <w:b/>
          <w:bCs/>
          <w:color w:val="000000"/>
          <w:sz w:val="24"/>
          <w:szCs w:val="24"/>
          <w:shd w:val="clear" w:color="FFFFFF" w:fill="auto"/>
        </w:rPr>
        <w:t xml:space="preserve">).  Vital signs </w:t>
      </w:r>
      <w:r w:rsidR="003C7376" w:rsidRPr="00E60581">
        <w:rPr>
          <w:rFonts w:asciiTheme="majorBidi" w:eastAsia="Times New Roman" w:hAnsiTheme="majorBidi" w:cstheme="majorBidi"/>
          <w:b/>
          <w:bCs/>
          <w:color w:val="000000"/>
          <w:sz w:val="24"/>
          <w:szCs w:val="24"/>
          <w:shd w:val="clear" w:color="FFFFFF" w:fill="auto"/>
        </w:rPr>
        <w:t>, CVP</w:t>
      </w:r>
      <w:r w:rsidR="007A594C" w:rsidRPr="00E60581">
        <w:rPr>
          <w:rFonts w:asciiTheme="majorBidi" w:eastAsia="Times New Roman" w:hAnsiTheme="majorBidi" w:cstheme="majorBidi"/>
          <w:b/>
          <w:bCs/>
          <w:color w:val="000000"/>
          <w:sz w:val="24"/>
          <w:szCs w:val="24"/>
          <w:shd w:val="clear" w:color="FFFFFF" w:fill="auto"/>
        </w:rPr>
        <w:t>, SVC</w:t>
      </w:r>
      <w:r w:rsidR="003C7376" w:rsidRPr="00E60581">
        <w:rPr>
          <w:rFonts w:asciiTheme="majorBidi" w:eastAsia="Times New Roman" w:hAnsiTheme="majorBidi" w:cstheme="majorBidi"/>
          <w:b/>
          <w:bCs/>
          <w:color w:val="000000"/>
          <w:sz w:val="24"/>
          <w:szCs w:val="24"/>
          <w:shd w:val="clear" w:color="FFFFFF" w:fill="auto"/>
        </w:rPr>
        <w:t xml:space="preserve"> assessment </w:t>
      </w:r>
      <w:r w:rsidRPr="00E60581">
        <w:rPr>
          <w:rFonts w:asciiTheme="majorBidi" w:eastAsia="Times New Roman" w:hAnsiTheme="majorBidi" w:cstheme="majorBidi"/>
          <w:b/>
          <w:bCs/>
          <w:color w:val="000000"/>
          <w:sz w:val="24"/>
          <w:szCs w:val="24"/>
          <w:shd w:val="clear" w:color="FFFFFF" w:fill="auto"/>
        </w:rPr>
        <w:t>of all studied cases.</w:t>
      </w:r>
    </w:p>
    <w:tbl>
      <w:tblPr>
        <w:tblStyle w:val="LightList-Accent5"/>
        <w:tblW w:w="5000" w:type="pct"/>
        <w:tblLook w:val="0400" w:firstRow="0" w:lastRow="0" w:firstColumn="0" w:lastColumn="0" w:noHBand="0" w:noVBand="1"/>
      </w:tblPr>
      <w:tblGrid>
        <w:gridCol w:w="2433"/>
        <w:gridCol w:w="3918"/>
        <w:gridCol w:w="3225"/>
      </w:tblGrid>
      <w:tr w:rsidR="003C7376" w:rsidRPr="006A47B7" w14:paraId="3F7FFED4" w14:textId="77777777" w:rsidTr="00B6718E">
        <w:trPr>
          <w:cnfStyle w:val="000000100000" w:firstRow="0" w:lastRow="0" w:firstColumn="0" w:lastColumn="0" w:oddVBand="0" w:evenVBand="0" w:oddHBand="1" w:evenHBand="0" w:firstRowFirstColumn="0" w:firstRowLastColumn="0" w:lastRowFirstColumn="0" w:lastRowLastColumn="0"/>
          <w:trHeight w:val="64"/>
        </w:trPr>
        <w:tc>
          <w:tcPr>
            <w:tcW w:w="3316" w:type="pct"/>
            <w:gridSpan w:val="2"/>
          </w:tcPr>
          <w:p w14:paraId="5DC58547" w14:textId="77777777" w:rsidR="003C7376" w:rsidRPr="006A47B7" w:rsidRDefault="003C7376" w:rsidP="00507FDA">
            <w:pPr>
              <w:spacing w:line="360" w:lineRule="auto"/>
              <w:ind w:left="60" w:right="60"/>
              <w:jc w:val="center"/>
              <w:rPr>
                <w:rFonts w:asciiTheme="majorBidi" w:eastAsia="Times New Roman" w:hAnsiTheme="majorBidi" w:cstheme="majorBidi"/>
                <w:b/>
                <w:bCs/>
                <w:sz w:val="24"/>
                <w:szCs w:val="24"/>
                <w:shd w:val="clear" w:color="FFFFFF" w:fill="auto"/>
              </w:rPr>
            </w:pPr>
          </w:p>
        </w:tc>
        <w:tc>
          <w:tcPr>
            <w:tcW w:w="1684" w:type="pct"/>
          </w:tcPr>
          <w:p w14:paraId="7D96E6D5" w14:textId="77777777" w:rsidR="003C7376" w:rsidRPr="006A47B7" w:rsidRDefault="003C7376" w:rsidP="00507FDA">
            <w:pPr>
              <w:spacing w:line="360" w:lineRule="auto"/>
              <w:ind w:left="60" w:right="60"/>
              <w:jc w:val="center"/>
              <w:rPr>
                <w:rFonts w:asciiTheme="majorBidi" w:hAnsiTheme="majorBidi" w:cstheme="majorBidi"/>
                <w:sz w:val="24"/>
                <w:szCs w:val="24"/>
              </w:rPr>
            </w:pPr>
            <w:r w:rsidRPr="006A47B7">
              <w:rPr>
                <w:rFonts w:asciiTheme="majorBidi" w:eastAsia="Times New Roman" w:hAnsiTheme="majorBidi" w:cstheme="majorBidi"/>
                <w:b/>
                <w:bCs/>
                <w:sz w:val="24"/>
                <w:szCs w:val="24"/>
                <w:shd w:val="clear" w:color="FFFFFF" w:fill="auto"/>
              </w:rPr>
              <w:t>Cases</w:t>
            </w:r>
          </w:p>
          <w:p w14:paraId="212264C1" w14:textId="77777777" w:rsidR="003C7376" w:rsidRPr="006A47B7" w:rsidRDefault="003C7376" w:rsidP="00507FDA">
            <w:pPr>
              <w:spacing w:line="360" w:lineRule="auto"/>
              <w:ind w:left="60" w:right="60"/>
              <w:jc w:val="center"/>
              <w:rPr>
                <w:rFonts w:asciiTheme="majorBidi" w:hAnsiTheme="majorBidi" w:cstheme="majorBidi"/>
                <w:sz w:val="24"/>
                <w:szCs w:val="24"/>
              </w:rPr>
            </w:pPr>
            <w:r w:rsidRPr="006A47B7">
              <w:rPr>
                <w:rFonts w:asciiTheme="majorBidi" w:eastAsia="Times New Roman" w:hAnsiTheme="majorBidi" w:cstheme="majorBidi"/>
                <w:b/>
                <w:bCs/>
                <w:sz w:val="24"/>
                <w:szCs w:val="24"/>
                <w:shd w:val="clear" w:color="FFFFFF" w:fill="auto"/>
              </w:rPr>
              <w:t>N=100</w:t>
            </w:r>
          </w:p>
        </w:tc>
      </w:tr>
      <w:tr w:rsidR="00B6718E" w:rsidRPr="006A47B7" w14:paraId="3B6A1F7A" w14:textId="77777777" w:rsidTr="00B6718E">
        <w:trPr>
          <w:trHeight w:val="1"/>
        </w:trPr>
        <w:tc>
          <w:tcPr>
            <w:tcW w:w="1270" w:type="pct"/>
          </w:tcPr>
          <w:p w14:paraId="2C5FE621" w14:textId="77777777" w:rsidR="00B6718E" w:rsidRPr="006A47B7" w:rsidRDefault="00B6718E" w:rsidP="00507FDA">
            <w:pPr>
              <w:spacing w:line="360" w:lineRule="auto"/>
              <w:rPr>
                <w:rFonts w:asciiTheme="majorBidi" w:hAnsiTheme="majorBidi" w:cstheme="majorBidi"/>
                <w:sz w:val="24"/>
                <w:szCs w:val="24"/>
              </w:rPr>
            </w:pPr>
            <w:r w:rsidRPr="006A47B7">
              <w:rPr>
                <w:rFonts w:asciiTheme="majorBidi" w:eastAsia="Times New Roman" w:hAnsiTheme="majorBidi" w:cstheme="majorBidi"/>
                <w:b/>
                <w:bCs/>
                <w:sz w:val="24"/>
                <w:szCs w:val="24"/>
                <w:shd w:val="clear" w:color="FFFFFF" w:fill="auto"/>
              </w:rPr>
              <w:t>SBP (mmHg)</w:t>
            </w:r>
          </w:p>
        </w:tc>
        <w:tc>
          <w:tcPr>
            <w:tcW w:w="2046" w:type="pct"/>
          </w:tcPr>
          <w:p w14:paraId="760C5507"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sz w:val="24"/>
                <w:szCs w:val="24"/>
                <w:shd w:val="clear" w:color="FFFFFF" w:fill="auto"/>
              </w:rPr>
              <w:t>mean±SD</w:t>
            </w:r>
            <w:proofErr w:type="spellEnd"/>
            <w:r w:rsidRPr="006A47B7">
              <w:rPr>
                <w:rFonts w:asciiTheme="majorBidi" w:eastAsia="Times New Roman" w:hAnsiTheme="majorBidi" w:cstheme="majorBidi"/>
                <w:sz w:val="24"/>
                <w:szCs w:val="24"/>
                <w:shd w:val="clear" w:color="FFFFFF" w:fill="auto"/>
              </w:rPr>
              <w:t xml:space="preserve"> (Minimum-maximum)</w:t>
            </w:r>
          </w:p>
        </w:tc>
        <w:tc>
          <w:tcPr>
            <w:tcW w:w="1684" w:type="pct"/>
          </w:tcPr>
          <w:p w14:paraId="5226F3F7" w14:textId="77777777" w:rsidR="00B6718E" w:rsidRPr="006A47B7" w:rsidRDefault="00B6718E" w:rsidP="00507FDA">
            <w:pPr>
              <w:spacing w:line="360" w:lineRule="auto"/>
              <w:ind w:left="60" w:right="60"/>
              <w:jc w:val="center"/>
              <w:rPr>
                <w:rFonts w:asciiTheme="majorBidi" w:hAnsiTheme="majorBidi" w:cstheme="majorBidi"/>
                <w:sz w:val="24"/>
                <w:szCs w:val="24"/>
              </w:rPr>
            </w:pPr>
            <w:r w:rsidRPr="006A47B7">
              <w:rPr>
                <w:rFonts w:asciiTheme="majorBidi" w:eastAsia="Times New Roman" w:hAnsiTheme="majorBidi" w:cstheme="majorBidi"/>
                <w:sz w:val="24"/>
                <w:szCs w:val="24"/>
                <w:shd w:val="clear" w:color="FFFFFF" w:fill="auto"/>
              </w:rPr>
              <w:t>98.4±16.3 (60-132</w:t>
            </w:r>
            <w:r w:rsidRPr="006A47B7">
              <w:rPr>
                <w:rFonts w:asciiTheme="majorBidi" w:hAnsiTheme="majorBidi" w:cstheme="majorBidi"/>
                <w:sz w:val="24"/>
                <w:szCs w:val="24"/>
                <w:shd w:val="clear" w:color="FFFFFF" w:fill="auto"/>
              </w:rPr>
              <w:t>)</w:t>
            </w:r>
          </w:p>
        </w:tc>
      </w:tr>
      <w:tr w:rsidR="00B6718E" w:rsidRPr="006A47B7" w14:paraId="1F3C92AD" w14:textId="77777777" w:rsidTr="00B6718E">
        <w:trPr>
          <w:cnfStyle w:val="000000100000" w:firstRow="0" w:lastRow="0" w:firstColumn="0" w:lastColumn="0" w:oddVBand="0" w:evenVBand="0" w:oddHBand="1" w:evenHBand="0" w:firstRowFirstColumn="0" w:firstRowLastColumn="0" w:lastRowFirstColumn="0" w:lastRowLastColumn="0"/>
          <w:trHeight w:val="1"/>
        </w:trPr>
        <w:tc>
          <w:tcPr>
            <w:tcW w:w="1270" w:type="pct"/>
          </w:tcPr>
          <w:p w14:paraId="71464F81" w14:textId="77777777" w:rsidR="00B6718E" w:rsidRPr="006A47B7" w:rsidRDefault="00B6718E" w:rsidP="00507FDA">
            <w:pPr>
              <w:spacing w:line="360" w:lineRule="auto"/>
              <w:rPr>
                <w:rFonts w:asciiTheme="majorBidi" w:hAnsiTheme="majorBidi" w:cstheme="majorBidi"/>
                <w:sz w:val="24"/>
                <w:szCs w:val="24"/>
              </w:rPr>
            </w:pPr>
            <w:r w:rsidRPr="006A47B7">
              <w:rPr>
                <w:rFonts w:asciiTheme="majorBidi" w:eastAsia="Times New Roman" w:hAnsiTheme="majorBidi" w:cstheme="majorBidi"/>
                <w:b/>
                <w:bCs/>
                <w:sz w:val="24"/>
                <w:szCs w:val="24"/>
                <w:shd w:val="clear" w:color="FFFFFF" w:fill="auto"/>
              </w:rPr>
              <w:t>DBP (mmHg)</w:t>
            </w:r>
          </w:p>
        </w:tc>
        <w:tc>
          <w:tcPr>
            <w:tcW w:w="2046" w:type="pct"/>
          </w:tcPr>
          <w:p w14:paraId="3164ECF1"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sz w:val="24"/>
                <w:szCs w:val="24"/>
                <w:shd w:val="clear" w:color="FFFFFF" w:fill="auto"/>
              </w:rPr>
              <w:t>mean±SD</w:t>
            </w:r>
            <w:proofErr w:type="spellEnd"/>
            <w:r w:rsidRPr="006A47B7">
              <w:rPr>
                <w:rFonts w:asciiTheme="majorBidi" w:eastAsia="Times New Roman" w:hAnsiTheme="majorBidi" w:cstheme="majorBidi"/>
                <w:sz w:val="24"/>
                <w:szCs w:val="24"/>
                <w:shd w:val="clear" w:color="FFFFFF" w:fill="auto"/>
              </w:rPr>
              <w:t xml:space="preserve"> (Minimum-maximum)</w:t>
            </w:r>
          </w:p>
        </w:tc>
        <w:tc>
          <w:tcPr>
            <w:tcW w:w="1684" w:type="pct"/>
          </w:tcPr>
          <w:p w14:paraId="07E2B4BE" w14:textId="77777777" w:rsidR="00B6718E" w:rsidRPr="006A47B7" w:rsidRDefault="00B6718E" w:rsidP="00507FDA">
            <w:pPr>
              <w:spacing w:line="360" w:lineRule="auto"/>
              <w:ind w:left="60" w:right="60"/>
              <w:jc w:val="center"/>
              <w:rPr>
                <w:rFonts w:asciiTheme="majorBidi" w:hAnsiTheme="majorBidi" w:cstheme="majorBidi"/>
                <w:sz w:val="24"/>
                <w:szCs w:val="24"/>
              </w:rPr>
            </w:pPr>
            <w:r w:rsidRPr="006A47B7">
              <w:rPr>
                <w:rFonts w:asciiTheme="majorBidi" w:eastAsia="Times New Roman" w:hAnsiTheme="majorBidi" w:cstheme="majorBidi"/>
                <w:sz w:val="24"/>
                <w:szCs w:val="24"/>
                <w:shd w:val="clear" w:color="FFFFFF" w:fill="auto"/>
              </w:rPr>
              <w:t>54.5±10.5 (37-75</w:t>
            </w:r>
            <w:r w:rsidRPr="006A47B7">
              <w:rPr>
                <w:rFonts w:asciiTheme="majorBidi" w:hAnsiTheme="majorBidi" w:cstheme="majorBidi"/>
                <w:sz w:val="24"/>
                <w:szCs w:val="24"/>
                <w:shd w:val="clear" w:color="FFFFFF" w:fill="auto"/>
              </w:rPr>
              <w:t>)</w:t>
            </w:r>
          </w:p>
        </w:tc>
      </w:tr>
      <w:tr w:rsidR="00B6718E" w:rsidRPr="006A47B7" w14:paraId="0F27ECA5" w14:textId="77777777" w:rsidTr="00B6718E">
        <w:trPr>
          <w:trHeight w:val="1"/>
        </w:trPr>
        <w:tc>
          <w:tcPr>
            <w:tcW w:w="1270" w:type="pct"/>
          </w:tcPr>
          <w:p w14:paraId="71D3AC6B" w14:textId="77777777" w:rsidR="00B6718E" w:rsidRPr="006A47B7" w:rsidRDefault="00B6718E" w:rsidP="00507FDA">
            <w:pPr>
              <w:spacing w:line="360" w:lineRule="auto"/>
              <w:rPr>
                <w:rFonts w:asciiTheme="majorBidi" w:hAnsiTheme="majorBidi" w:cstheme="majorBidi"/>
                <w:sz w:val="24"/>
                <w:szCs w:val="24"/>
              </w:rPr>
            </w:pPr>
            <w:r w:rsidRPr="006A47B7">
              <w:rPr>
                <w:rFonts w:asciiTheme="majorBidi" w:eastAsia="Times New Roman" w:hAnsiTheme="majorBidi" w:cstheme="majorBidi"/>
                <w:b/>
                <w:bCs/>
                <w:sz w:val="24"/>
                <w:szCs w:val="24"/>
                <w:shd w:val="clear" w:color="FFFFFF" w:fill="auto"/>
              </w:rPr>
              <w:t>MAP (mmHg)</w:t>
            </w:r>
          </w:p>
        </w:tc>
        <w:tc>
          <w:tcPr>
            <w:tcW w:w="2046" w:type="pct"/>
          </w:tcPr>
          <w:p w14:paraId="608A8034"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sz w:val="24"/>
                <w:szCs w:val="24"/>
                <w:shd w:val="clear" w:color="FFFFFF" w:fill="auto"/>
              </w:rPr>
              <w:t>mean±SD</w:t>
            </w:r>
            <w:proofErr w:type="spellEnd"/>
            <w:r w:rsidRPr="006A47B7">
              <w:rPr>
                <w:rFonts w:asciiTheme="majorBidi" w:eastAsia="Times New Roman" w:hAnsiTheme="majorBidi" w:cstheme="majorBidi"/>
                <w:sz w:val="24"/>
                <w:szCs w:val="24"/>
                <w:shd w:val="clear" w:color="FFFFFF" w:fill="auto"/>
              </w:rPr>
              <w:t xml:space="preserve"> (Minimum-maximum)</w:t>
            </w:r>
          </w:p>
        </w:tc>
        <w:tc>
          <w:tcPr>
            <w:tcW w:w="1684" w:type="pct"/>
          </w:tcPr>
          <w:p w14:paraId="3C652421" w14:textId="77777777" w:rsidR="00B6718E" w:rsidRPr="006A47B7" w:rsidRDefault="00B6718E" w:rsidP="00507FDA">
            <w:pPr>
              <w:spacing w:line="360" w:lineRule="auto"/>
              <w:ind w:left="60" w:right="60"/>
              <w:jc w:val="center"/>
              <w:rPr>
                <w:rFonts w:asciiTheme="majorBidi" w:hAnsiTheme="majorBidi" w:cstheme="majorBidi"/>
                <w:sz w:val="24"/>
                <w:szCs w:val="24"/>
              </w:rPr>
            </w:pPr>
            <w:r w:rsidRPr="006A47B7">
              <w:rPr>
                <w:rFonts w:asciiTheme="majorBidi" w:eastAsia="Times New Roman" w:hAnsiTheme="majorBidi" w:cstheme="majorBidi"/>
                <w:sz w:val="24"/>
                <w:szCs w:val="24"/>
                <w:shd w:val="clear" w:color="FFFFFF" w:fill="auto"/>
              </w:rPr>
              <w:t>68.7±11.7 (46-95</w:t>
            </w:r>
            <w:r w:rsidRPr="006A47B7">
              <w:rPr>
                <w:rFonts w:asciiTheme="majorBidi" w:hAnsiTheme="majorBidi" w:cstheme="majorBidi"/>
                <w:sz w:val="24"/>
                <w:szCs w:val="24"/>
                <w:shd w:val="clear" w:color="FFFFFF" w:fill="auto"/>
              </w:rPr>
              <w:t>)</w:t>
            </w:r>
          </w:p>
        </w:tc>
      </w:tr>
      <w:tr w:rsidR="00B6718E" w:rsidRPr="006A47B7" w14:paraId="3CE032F3" w14:textId="77777777" w:rsidTr="00B6718E">
        <w:trPr>
          <w:cnfStyle w:val="000000100000" w:firstRow="0" w:lastRow="0" w:firstColumn="0" w:lastColumn="0" w:oddVBand="0" w:evenVBand="0" w:oddHBand="1" w:evenHBand="0" w:firstRowFirstColumn="0" w:firstRowLastColumn="0" w:lastRowFirstColumn="0" w:lastRowLastColumn="0"/>
          <w:trHeight w:val="1"/>
        </w:trPr>
        <w:tc>
          <w:tcPr>
            <w:tcW w:w="1270" w:type="pct"/>
          </w:tcPr>
          <w:p w14:paraId="09AE2394" w14:textId="77777777" w:rsidR="00B6718E" w:rsidRPr="006A47B7" w:rsidRDefault="00B6718E" w:rsidP="00507FDA">
            <w:pPr>
              <w:spacing w:line="360" w:lineRule="auto"/>
              <w:rPr>
                <w:rFonts w:asciiTheme="majorBidi" w:hAnsiTheme="majorBidi" w:cstheme="majorBidi"/>
                <w:sz w:val="24"/>
                <w:szCs w:val="24"/>
              </w:rPr>
            </w:pPr>
            <w:r w:rsidRPr="006A47B7">
              <w:rPr>
                <w:rFonts w:asciiTheme="majorBidi" w:eastAsia="Times New Roman" w:hAnsiTheme="majorBidi" w:cstheme="majorBidi"/>
                <w:b/>
                <w:bCs/>
                <w:sz w:val="24"/>
                <w:szCs w:val="24"/>
                <w:shd w:val="clear" w:color="FFFFFF" w:fill="auto"/>
              </w:rPr>
              <w:t>Pulse rate (bpm)</w:t>
            </w:r>
          </w:p>
        </w:tc>
        <w:tc>
          <w:tcPr>
            <w:tcW w:w="2046" w:type="pct"/>
          </w:tcPr>
          <w:p w14:paraId="789789A1"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sz w:val="24"/>
                <w:szCs w:val="24"/>
                <w:shd w:val="clear" w:color="FFFFFF" w:fill="auto"/>
              </w:rPr>
              <w:t>mean±SD</w:t>
            </w:r>
            <w:proofErr w:type="spellEnd"/>
            <w:r w:rsidRPr="006A47B7">
              <w:rPr>
                <w:rFonts w:asciiTheme="majorBidi" w:eastAsia="Times New Roman" w:hAnsiTheme="majorBidi" w:cstheme="majorBidi"/>
                <w:sz w:val="24"/>
                <w:szCs w:val="24"/>
                <w:shd w:val="clear" w:color="FFFFFF" w:fill="auto"/>
              </w:rPr>
              <w:t xml:space="preserve"> (Minimum-maximum)</w:t>
            </w:r>
          </w:p>
        </w:tc>
        <w:tc>
          <w:tcPr>
            <w:tcW w:w="1684" w:type="pct"/>
          </w:tcPr>
          <w:p w14:paraId="6887CD69" w14:textId="77777777" w:rsidR="00B6718E" w:rsidRPr="006A47B7" w:rsidRDefault="00B6718E" w:rsidP="00507FDA">
            <w:pPr>
              <w:spacing w:line="360" w:lineRule="auto"/>
              <w:ind w:left="60" w:right="60"/>
              <w:jc w:val="center"/>
              <w:rPr>
                <w:rFonts w:asciiTheme="majorBidi" w:hAnsiTheme="majorBidi" w:cstheme="majorBidi"/>
                <w:sz w:val="24"/>
                <w:szCs w:val="24"/>
              </w:rPr>
            </w:pPr>
            <w:r w:rsidRPr="006A47B7">
              <w:rPr>
                <w:rFonts w:asciiTheme="majorBidi" w:eastAsia="Times New Roman" w:hAnsiTheme="majorBidi" w:cstheme="majorBidi"/>
                <w:sz w:val="24"/>
                <w:szCs w:val="24"/>
                <w:shd w:val="clear" w:color="FFFFFF" w:fill="auto"/>
              </w:rPr>
              <w:t>116.1±34.5 (66-183</w:t>
            </w:r>
            <w:r w:rsidRPr="006A47B7">
              <w:rPr>
                <w:rFonts w:asciiTheme="majorBidi" w:hAnsiTheme="majorBidi" w:cstheme="majorBidi"/>
                <w:sz w:val="24"/>
                <w:szCs w:val="24"/>
                <w:shd w:val="clear" w:color="FFFFFF" w:fill="auto"/>
              </w:rPr>
              <w:t>)</w:t>
            </w:r>
          </w:p>
        </w:tc>
      </w:tr>
      <w:tr w:rsidR="00B6718E" w:rsidRPr="006A47B7" w14:paraId="645BCD56" w14:textId="77777777" w:rsidTr="00B6718E">
        <w:trPr>
          <w:trHeight w:val="1"/>
        </w:trPr>
        <w:tc>
          <w:tcPr>
            <w:tcW w:w="1270" w:type="pct"/>
          </w:tcPr>
          <w:p w14:paraId="000F6D26" w14:textId="77777777" w:rsidR="00B6718E" w:rsidRPr="006A47B7" w:rsidRDefault="00B6718E" w:rsidP="00507FDA">
            <w:pPr>
              <w:spacing w:line="360" w:lineRule="auto"/>
              <w:rPr>
                <w:rFonts w:asciiTheme="majorBidi" w:eastAsia="Times New Roman" w:hAnsiTheme="majorBidi" w:cstheme="majorBidi"/>
                <w:b/>
                <w:bCs/>
                <w:sz w:val="24"/>
                <w:szCs w:val="24"/>
                <w:shd w:val="clear" w:color="FFFFFF" w:fill="auto"/>
              </w:rPr>
            </w:pPr>
            <w:r w:rsidRPr="006A47B7">
              <w:rPr>
                <w:rFonts w:asciiTheme="majorBidi" w:eastAsia="Times New Roman" w:hAnsiTheme="majorBidi" w:cstheme="majorBidi"/>
                <w:b/>
                <w:bCs/>
                <w:color w:val="264A60"/>
                <w:sz w:val="24"/>
                <w:szCs w:val="24"/>
                <w:shd w:val="clear" w:color="FFFFFF" w:fill="auto"/>
              </w:rPr>
              <w:t xml:space="preserve">CVP </w:t>
            </w:r>
            <w:r w:rsidRPr="006A47B7">
              <w:rPr>
                <w:rFonts w:asciiTheme="majorBidi" w:eastAsia="Times New Roman" w:hAnsiTheme="majorBidi" w:cstheme="majorBidi"/>
                <w:b/>
                <w:bCs/>
                <w:sz w:val="24"/>
                <w:szCs w:val="24"/>
                <w:shd w:val="clear" w:color="FFFFFF" w:fill="auto"/>
              </w:rPr>
              <w:t>(cm H</w:t>
            </w:r>
            <w:r w:rsidRPr="006A47B7">
              <w:rPr>
                <w:rFonts w:asciiTheme="majorBidi" w:eastAsia="Times New Roman" w:hAnsiTheme="majorBidi" w:cstheme="majorBidi"/>
                <w:b/>
                <w:bCs/>
                <w:sz w:val="24"/>
                <w:szCs w:val="24"/>
                <w:shd w:val="clear" w:color="FFFFFF" w:fill="auto"/>
                <w:vertAlign w:val="subscript"/>
              </w:rPr>
              <w:t>2</w:t>
            </w:r>
            <w:r w:rsidRPr="006A47B7">
              <w:rPr>
                <w:rFonts w:asciiTheme="majorBidi" w:eastAsia="Times New Roman" w:hAnsiTheme="majorBidi" w:cstheme="majorBidi"/>
                <w:b/>
                <w:bCs/>
                <w:sz w:val="24"/>
                <w:szCs w:val="24"/>
                <w:shd w:val="clear" w:color="FFFFFF" w:fill="auto"/>
              </w:rPr>
              <w:t>O)</w:t>
            </w:r>
          </w:p>
        </w:tc>
        <w:tc>
          <w:tcPr>
            <w:tcW w:w="2046" w:type="pct"/>
          </w:tcPr>
          <w:p w14:paraId="6ADAE840"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sz w:val="24"/>
                <w:szCs w:val="24"/>
                <w:shd w:val="clear" w:color="FFFFFF" w:fill="auto"/>
              </w:rPr>
              <w:t>mean±SD</w:t>
            </w:r>
            <w:proofErr w:type="spellEnd"/>
            <w:r w:rsidRPr="006A47B7">
              <w:rPr>
                <w:rFonts w:asciiTheme="majorBidi" w:eastAsia="Times New Roman" w:hAnsiTheme="majorBidi" w:cstheme="majorBidi"/>
                <w:sz w:val="24"/>
                <w:szCs w:val="24"/>
                <w:shd w:val="clear" w:color="FFFFFF" w:fill="auto"/>
              </w:rPr>
              <w:t xml:space="preserve"> (Minimum-maximum)</w:t>
            </w:r>
          </w:p>
        </w:tc>
        <w:tc>
          <w:tcPr>
            <w:tcW w:w="1684" w:type="pct"/>
          </w:tcPr>
          <w:p w14:paraId="6B0CC7D9" w14:textId="77777777" w:rsidR="00B6718E" w:rsidRPr="006A47B7" w:rsidRDefault="00B6718E" w:rsidP="00507FDA">
            <w:pPr>
              <w:spacing w:line="360" w:lineRule="auto"/>
              <w:ind w:left="60" w:right="60"/>
              <w:jc w:val="center"/>
              <w:rPr>
                <w:rFonts w:asciiTheme="majorBidi" w:hAnsiTheme="majorBidi" w:cstheme="majorBidi"/>
                <w:sz w:val="24"/>
                <w:szCs w:val="24"/>
              </w:rPr>
            </w:pPr>
            <w:r w:rsidRPr="006A47B7">
              <w:rPr>
                <w:rFonts w:asciiTheme="majorBidi" w:eastAsia="Times New Roman" w:hAnsiTheme="majorBidi" w:cstheme="majorBidi"/>
                <w:color w:val="010205"/>
                <w:sz w:val="24"/>
                <w:szCs w:val="24"/>
                <w:shd w:val="clear" w:color="FFFFFF" w:fill="auto"/>
              </w:rPr>
              <w:t xml:space="preserve">6.9±2.3 </w:t>
            </w:r>
            <w:r w:rsidRPr="006A47B7">
              <w:rPr>
                <w:rFonts w:asciiTheme="majorBidi" w:eastAsia="Times New Roman" w:hAnsiTheme="majorBidi" w:cstheme="majorBidi"/>
                <w:sz w:val="24"/>
                <w:szCs w:val="24"/>
                <w:shd w:val="clear" w:color="FFFFFF" w:fill="auto"/>
              </w:rPr>
              <w:t>(0-11</w:t>
            </w:r>
            <w:r w:rsidRPr="006A47B7">
              <w:rPr>
                <w:rFonts w:asciiTheme="majorBidi" w:hAnsiTheme="majorBidi" w:cstheme="majorBidi"/>
                <w:sz w:val="24"/>
                <w:szCs w:val="24"/>
                <w:shd w:val="clear" w:color="FFFFFF" w:fill="auto"/>
              </w:rPr>
              <w:t>)</w:t>
            </w:r>
          </w:p>
        </w:tc>
      </w:tr>
      <w:tr w:rsidR="003C7376" w:rsidRPr="006A47B7" w14:paraId="724ACBF6" w14:textId="77777777" w:rsidTr="00B6718E">
        <w:trPr>
          <w:cnfStyle w:val="000000100000" w:firstRow="0" w:lastRow="0" w:firstColumn="0" w:lastColumn="0" w:oddVBand="0" w:evenVBand="0" w:oddHBand="1" w:evenHBand="0" w:firstRowFirstColumn="0" w:firstRowLastColumn="0" w:lastRowFirstColumn="0" w:lastRowLastColumn="0"/>
          <w:trHeight w:val="1"/>
        </w:trPr>
        <w:tc>
          <w:tcPr>
            <w:tcW w:w="1270" w:type="pct"/>
          </w:tcPr>
          <w:p w14:paraId="30E13FAC" w14:textId="77777777" w:rsidR="003C7376" w:rsidRPr="006A47B7" w:rsidRDefault="003C7376" w:rsidP="00507FDA">
            <w:pPr>
              <w:spacing w:line="360" w:lineRule="auto"/>
              <w:ind w:left="60" w:right="60"/>
              <w:rPr>
                <w:rFonts w:asciiTheme="majorBidi" w:hAnsiTheme="majorBidi" w:cstheme="majorBidi"/>
                <w:sz w:val="24"/>
                <w:szCs w:val="24"/>
              </w:rPr>
            </w:pPr>
            <w:r w:rsidRPr="006A47B7">
              <w:rPr>
                <w:rFonts w:asciiTheme="majorBidi" w:eastAsia="Times New Roman" w:hAnsiTheme="majorBidi" w:cstheme="majorBidi"/>
                <w:b/>
                <w:bCs/>
                <w:color w:val="264A60"/>
                <w:sz w:val="24"/>
                <w:szCs w:val="24"/>
                <w:shd w:val="clear" w:color="FFFFFF" w:fill="auto"/>
              </w:rPr>
              <w:t>CVP&lt;10</w:t>
            </w:r>
          </w:p>
        </w:tc>
        <w:tc>
          <w:tcPr>
            <w:tcW w:w="2046" w:type="pct"/>
          </w:tcPr>
          <w:p w14:paraId="4C5484BF" w14:textId="77777777" w:rsidR="003C7376" w:rsidRPr="006A47B7" w:rsidRDefault="003C7376" w:rsidP="00507FDA">
            <w:pPr>
              <w:spacing w:line="360" w:lineRule="auto"/>
              <w:rPr>
                <w:rFonts w:asciiTheme="majorBidi" w:hAnsiTheme="majorBidi" w:cstheme="majorBidi"/>
                <w:sz w:val="24"/>
                <w:szCs w:val="24"/>
              </w:rPr>
            </w:pPr>
            <w:r w:rsidRPr="006A47B7">
              <w:rPr>
                <w:rFonts w:asciiTheme="majorBidi" w:eastAsia="Times New Roman" w:hAnsiTheme="majorBidi" w:cstheme="majorBidi"/>
                <w:color w:val="000000"/>
                <w:sz w:val="24"/>
                <w:szCs w:val="24"/>
                <w:shd w:val="clear" w:color="FFFFFF" w:fill="auto"/>
              </w:rPr>
              <w:t>N, %</w:t>
            </w:r>
          </w:p>
        </w:tc>
        <w:tc>
          <w:tcPr>
            <w:tcW w:w="1684" w:type="pct"/>
          </w:tcPr>
          <w:p w14:paraId="6175765E" w14:textId="77777777" w:rsidR="003C7376" w:rsidRPr="006A47B7" w:rsidRDefault="003C7376" w:rsidP="00507FDA">
            <w:pPr>
              <w:spacing w:line="360" w:lineRule="auto"/>
              <w:ind w:left="60" w:right="60"/>
              <w:jc w:val="center"/>
              <w:rPr>
                <w:rFonts w:asciiTheme="majorBidi" w:hAnsiTheme="majorBidi" w:cstheme="majorBidi"/>
                <w:sz w:val="24"/>
                <w:szCs w:val="24"/>
              </w:rPr>
            </w:pPr>
            <w:r w:rsidRPr="006A47B7">
              <w:rPr>
                <w:rFonts w:asciiTheme="majorBidi" w:eastAsia="Times New Roman" w:hAnsiTheme="majorBidi" w:cstheme="majorBidi"/>
                <w:sz w:val="24"/>
                <w:szCs w:val="24"/>
                <w:shd w:val="clear" w:color="FFFFFF" w:fill="auto"/>
              </w:rPr>
              <w:t>76(76%)</w:t>
            </w:r>
          </w:p>
        </w:tc>
      </w:tr>
      <w:tr w:rsidR="003C7376" w:rsidRPr="006A47B7" w14:paraId="39B6F82D" w14:textId="77777777" w:rsidTr="00B6718E">
        <w:trPr>
          <w:trHeight w:val="1"/>
        </w:trPr>
        <w:tc>
          <w:tcPr>
            <w:tcW w:w="1270" w:type="pct"/>
          </w:tcPr>
          <w:p w14:paraId="3A7F9813" w14:textId="77777777" w:rsidR="003C7376" w:rsidRPr="006A47B7" w:rsidRDefault="003C7376" w:rsidP="00507FDA">
            <w:pPr>
              <w:spacing w:line="360" w:lineRule="auto"/>
              <w:ind w:left="60" w:right="60"/>
              <w:rPr>
                <w:rFonts w:asciiTheme="majorBidi" w:hAnsiTheme="majorBidi" w:cstheme="majorBidi"/>
                <w:sz w:val="24"/>
                <w:szCs w:val="24"/>
              </w:rPr>
            </w:pPr>
            <w:r w:rsidRPr="006A47B7">
              <w:rPr>
                <w:rFonts w:asciiTheme="majorBidi" w:eastAsia="Times New Roman" w:hAnsiTheme="majorBidi" w:cstheme="majorBidi"/>
                <w:b/>
                <w:bCs/>
                <w:color w:val="264A60"/>
                <w:sz w:val="24"/>
                <w:szCs w:val="24"/>
                <w:shd w:val="clear" w:color="FFFFFF" w:fill="auto"/>
              </w:rPr>
              <w:t>CVP</w:t>
            </w:r>
            <w:r w:rsidRPr="006A47B7">
              <w:rPr>
                <w:rFonts w:asciiTheme="majorBidi" w:eastAsia="Cambria Math" w:hAnsiTheme="majorBidi" w:cstheme="majorBidi"/>
                <w:b/>
                <w:bCs/>
                <w:color w:val="264A60"/>
                <w:sz w:val="24"/>
                <w:szCs w:val="24"/>
                <w:shd w:val="clear" w:color="FFFFFF" w:fill="auto"/>
              </w:rPr>
              <w:t>≥</w:t>
            </w:r>
            <w:r w:rsidRPr="006A47B7">
              <w:rPr>
                <w:rFonts w:asciiTheme="majorBidi" w:eastAsia="Times New Roman" w:hAnsiTheme="majorBidi" w:cstheme="majorBidi"/>
                <w:b/>
                <w:bCs/>
                <w:color w:val="264A60"/>
                <w:sz w:val="24"/>
                <w:szCs w:val="24"/>
                <w:shd w:val="clear" w:color="FFFFFF" w:fill="auto"/>
              </w:rPr>
              <w:t>10</w:t>
            </w:r>
          </w:p>
        </w:tc>
        <w:tc>
          <w:tcPr>
            <w:tcW w:w="2046" w:type="pct"/>
          </w:tcPr>
          <w:p w14:paraId="4BF9E68C" w14:textId="77777777" w:rsidR="003C7376" w:rsidRPr="006A47B7" w:rsidRDefault="003C7376" w:rsidP="00507FDA">
            <w:pPr>
              <w:spacing w:line="360" w:lineRule="auto"/>
              <w:rPr>
                <w:rFonts w:asciiTheme="majorBidi" w:hAnsiTheme="majorBidi" w:cstheme="majorBidi"/>
                <w:sz w:val="24"/>
                <w:szCs w:val="24"/>
              </w:rPr>
            </w:pPr>
            <w:r w:rsidRPr="006A47B7">
              <w:rPr>
                <w:rFonts w:asciiTheme="majorBidi" w:eastAsia="Times New Roman" w:hAnsiTheme="majorBidi" w:cstheme="majorBidi"/>
                <w:color w:val="000000"/>
                <w:sz w:val="24"/>
                <w:szCs w:val="24"/>
                <w:shd w:val="clear" w:color="FFFFFF" w:fill="auto"/>
              </w:rPr>
              <w:t>N, %</w:t>
            </w:r>
          </w:p>
        </w:tc>
        <w:tc>
          <w:tcPr>
            <w:tcW w:w="1684" w:type="pct"/>
          </w:tcPr>
          <w:p w14:paraId="4D0E53F0" w14:textId="77777777" w:rsidR="003C7376" w:rsidRPr="006A47B7" w:rsidRDefault="003C7376" w:rsidP="00507FDA">
            <w:pPr>
              <w:spacing w:line="360" w:lineRule="auto"/>
              <w:ind w:left="60" w:right="60"/>
              <w:jc w:val="center"/>
              <w:rPr>
                <w:rFonts w:asciiTheme="majorBidi" w:hAnsiTheme="majorBidi" w:cstheme="majorBidi"/>
                <w:sz w:val="24"/>
                <w:szCs w:val="24"/>
              </w:rPr>
            </w:pPr>
            <w:r w:rsidRPr="006A47B7">
              <w:rPr>
                <w:rFonts w:asciiTheme="majorBidi" w:eastAsia="Times New Roman" w:hAnsiTheme="majorBidi" w:cstheme="majorBidi"/>
                <w:sz w:val="24"/>
                <w:szCs w:val="24"/>
                <w:shd w:val="clear" w:color="FFFFFF" w:fill="auto"/>
              </w:rPr>
              <w:t>24(24%)</w:t>
            </w:r>
          </w:p>
        </w:tc>
      </w:tr>
      <w:tr w:rsidR="00B6718E" w:rsidRPr="006A47B7" w14:paraId="16214C27" w14:textId="77777777" w:rsidTr="00B6718E">
        <w:trPr>
          <w:cnfStyle w:val="000000100000" w:firstRow="0" w:lastRow="0" w:firstColumn="0" w:lastColumn="0" w:oddVBand="0" w:evenVBand="0" w:oddHBand="1" w:evenHBand="0" w:firstRowFirstColumn="0" w:firstRowLastColumn="0" w:lastRowFirstColumn="0" w:lastRowLastColumn="0"/>
          <w:trHeight w:val="1"/>
        </w:trPr>
        <w:tc>
          <w:tcPr>
            <w:tcW w:w="1270" w:type="pct"/>
          </w:tcPr>
          <w:p w14:paraId="3B5BB5F5"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b/>
                <w:bCs/>
                <w:color w:val="000000"/>
                <w:sz w:val="24"/>
                <w:szCs w:val="24"/>
                <w:shd w:val="clear" w:color="FFFFFF" w:fill="auto"/>
              </w:rPr>
              <w:t>dSVC</w:t>
            </w:r>
            <w:proofErr w:type="spellEnd"/>
            <w:r w:rsidRPr="006A47B7">
              <w:rPr>
                <w:rFonts w:asciiTheme="majorBidi" w:eastAsia="Times New Roman" w:hAnsiTheme="majorBidi" w:cstheme="majorBidi"/>
                <w:b/>
                <w:bCs/>
                <w:color w:val="000000"/>
                <w:sz w:val="24"/>
                <w:szCs w:val="24"/>
                <w:shd w:val="clear" w:color="FFFFFF" w:fill="auto"/>
              </w:rPr>
              <w:t xml:space="preserve"> max </w:t>
            </w:r>
            <w:r w:rsidRPr="006A47B7">
              <w:rPr>
                <w:rFonts w:asciiTheme="majorBidi" w:eastAsia="Times New Roman" w:hAnsiTheme="majorBidi" w:cstheme="majorBidi"/>
                <w:b/>
                <w:bCs/>
                <w:sz w:val="24"/>
                <w:szCs w:val="24"/>
                <w:shd w:val="clear" w:color="FFFFFF" w:fill="auto"/>
              </w:rPr>
              <w:t>(mm)</w:t>
            </w:r>
          </w:p>
        </w:tc>
        <w:tc>
          <w:tcPr>
            <w:tcW w:w="2046" w:type="pct"/>
          </w:tcPr>
          <w:p w14:paraId="48604927"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sz w:val="24"/>
                <w:szCs w:val="24"/>
                <w:shd w:val="clear" w:color="FFFFFF" w:fill="auto"/>
              </w:rPr>
              <w:t>mean±SD</w:t>
            </w:r>
            <w:proofErr w:type="spellEnd"/>
            <w:r w:rsidRPr="006A47B7">
              <w:rPr>
                <w:rFonts w:asciiTheme="majorBidi" w:eastAsia="Times New Roman" w:hAnsiTheme="majorBidi" w:cstheme="majorBidi"/>
                <w:sz w:val="24"/>
                <w:szCs w:val="24"/>
                <w:shd w:val="clear" w:color="FFFFFF" w:fill="auto"/>
              </w:rPr>
              <w:t xml:space="preserve"> (Minimum-maximum)</w:t>
            </w:r>
          </w:p>
        </w:tc>
        <w:tc>
          <w:tcPr>
            <w:tcW w:w="1684" w:type="pct"/>
          </w:tcPr>
          <w:p w14:paraId="30E32C25" w14:textId="77777777" w:rsidR="00B6718E" w:rsidRPr="006A47B7" w:rsidRDefault="00B6718E" w:rsidP="00507FDA">
            <w:pPr>
              <w:spacing w:line="360" w:lineRule="auto"/>
              <w:ind w:left="60" w:right="60"/>
              <w:jc w:val="center"/>
              <w:rPr>
                <w:rFonts w:asciiTheme="majorBidi" w:eastAsia="Times New Roman" w:hAnsiTheme="majorBidi" w:cstheme="majorBidi"/>
                <w:sz w:val="24"/>
                <w:szCs w:val="24"/>
                <w:shd w:val="clear" w:color="FFFFFF" w:fill="auto"/>
              </w:rPr>
            </w:pPr>
            <w:r w:rsidRPr="006A47B7">
              <w:rPr>
                <w:rFonts w:asciiTheme="majorBidi" w:eastAsia="Arial" w:hAnsiTheme="majorBidi" w:cstheme="majorBidi"/>
                <w:color w:val="010205"/>
                <w:sz w:val="24"/>
                <w:szCs w:val="24"/>
                <w:shd w:val="clear" w:color="FFFFFF" w:fill="auto"/>
              </w:rPr>
              <w:t xml:space="preserve">1.5±0.6 </w:t>
            </w:r>
            <w:r w:rsidRPr="006A47B7">
              <w:rPr>
                <w:rFonts w:asciiTheme="majorBidi" w:eastAsia="Times New Roman" w:hAnsiTheme="majorBidi" w:cstheme="majorBidi"/>
                <w:sz w:val="24"/>
                <w:szCs w:val="24"/>
                <w:shd w:val="clear" w:color="FFFFFF" w:fill="auto"/>
              </w:rPr>
              <w:t>(</w:t>
            </w:r>
            <w:r w:rsidRPr="006A47B7">
              <w:rPr>
                <w:rFonts w:asciiTheme="majorBidi" w:hAnsiTheme="majorBidi" w:cstheme="majorBidi"/>
                <w:sz w:val="24"/>
                <w:szCs w:val="24"/>
                <w:shd w:val="clear" w:color="FFFFFF" w:fill="auto"/>
              </w:rPr>
              <w:t>0.5-2.60)</w:t>
            </w:r>
          </w:p>
        </w:tc>
      </w:tr>
      <w:tr w:rsidR="00B6718E" w:rsidRPr="006A47B7" w14:paraId="5F8B746C" w14:textId="77777777" w:rsidTr="00B6718E">
        <w:trPr>
          <w:trHeight w:val="1"/>
        </w:trPr>
        <w:tc>
          <w:tcPr>
            <w:tcW w:w="1270" w:type="pct"/>
          </w:tcPr>
          <w:p w14:paraId="16733D4D"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b/>
                <w:bCs/>
                <w:color w:val="000000"/>
                <w:sz w:val="24"/>
                <w:szCs w:val="24"/>
                <w:shd w:val="clear" w:color="FFFFFF" w:fill="auto"/>
              </w:rPr>
              <w:t>dSVC</w:t>
            </w:r>
            <w:proofErr w:type="spellEnd"/>
            <w:r w:rsidRPr="006A47B7">
              <w:rPr>
                <w:rFonts w:asciiTheme="majorBidi" w:eastAsia="Times New Roman" w:hAnsiTheme="majorBidi" w:cstheme="majorBidi"/>
                <w:b/>
                <w:bCs/>
                <w:color w:val="000000"/>
                <w:sz w:val="24"/>
                <w:szCs w:val="24"/>
                <w:shd w:val="clear" w:color="FFFFFF" w:fill="auto"/>
              </w:rPr>
              <w:t xml:space="preserve"> min </w:t>
            </w:r>
            <w:r w:rsidRPr="006A47B7">
              <w:rPr>
                <w:rFonts w:asciiTheme="majorBidi" w:eastAsia="Times New Roman" w:hAnsiTheme="majorBidi" w:cstheme="majorBidi"/>
                <w:b/>
                <w:bCs/>
                <w:sz w:val="24"/>
                <w:szCs w:val="24"/>
                <w:shd w:val="clear" w:color="FFFFFF" w:fill="auto"/>
              </w:rPr>
              <w:t>(mm)</w:t>
            </w:r>
          </w:p>
        </w:tc>
        <w:tc>
          <w:tcPr>
            <w:tcW w:w="2046" w:type="pct"/>
          </w:tcPr>
          <w:p w14:paraId="5E03713D"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sz w:val="24"/>
                <w:szCs w:val="24"/>
                <w:shd w:val="clear" w:color="FFFFFF" w:fill="auto"/>
              </w:rPr>
              <w:t>mean±SD</w:t>
            </w:r>
            <w:proofErr w:type="spellEnd"/>
            <w:r w:rsidRPr="006A47B7">
              <w:rPr>
                <w:rFonts w:asciiTheme="majorBidi" w:eastAsia="Times New Roman" w:hAnsiTheme="majorBidi" w:cstheme="majorBidi"/>
                <w:sz w:val="24"/>
                <w:szCs w:val="24"/>
                <w:shd w:val="clear" w:color="FFFFFF" w:fill="auto"/>
              </w:rPr>
              <w:t xml:space="preserve"> (Minimum-maximum)</w:t>
            </w:r>
          </w:p>
        </w:tc>
        <w:tc>
          <w:tcPr>
            <w:tcW w:w="1684" w:type="pct"/>
          </w:tcPr>
          <w:p w14:paraId="451C08D4" w14:textId="77777777" w:rsidR="00B6718E" w:rsidRPr="006A47B7" w:rsidRDefault="00B6718E" w:rsidP="00507FDA">
            <w:pPr>
              <w:spacing w:line="360" w:lineRule="auto"/>
              <w:ind w:left="60" w:right="60"/>
              <w:jc w:val="center"/>
              <w:rPr>
                <w:rFonts w:asciiTheme="majorBidi" w:eastAsia="Times New Roman" w:hAnsiTheme="majorBidi" w:cstheme="majorBidi"/>
                <w:sz w:val="24"/>
                <w:szCs w:val="24"/>
                <w:shd w:val="clear" w:color="FFFFFF" w:fill="auto"/>
              </w:rPr>
            </w:pPr>
            <w:r w:rsidRPr="006A47B7">
              <w:rPr>
                <w:rFonts w:asciiTheme="majorBidi" w:eastAsia="Arial" w:hAnsiTheme="majorBidi" w:cstheme="majorBidi"/>
                <w:color w:val="010205"/>
                <w:sz w:val="24"/>
                <w:szCs w:val="24"/>
                <w:shd w:val="clear" w:color="FFFFFF" w:fill="auto"/>
              </w:rPr>
              <w:t xml:space="preserve">1.1±0.5 </w:t>
            </w:r>
            <w:r w:rsidRPr="006A47B7">
              <w:rPr>
                <w:rFonts w:asciiTheme="majorBidi" w:eastAsia="Times New Roman" w:hAnsiTheme="majorBidi" w:cstheme="majorBidi"/>
                <w:sz w:val="24"/>
                <w:szCs w:val="24"/>
                <w:shd w:val="clear" w:color="FFFFFF" w:fill="auto"/>
              </w:rPr>
              <w:t>(</w:t>
            </w:r>
            <w:r w:rsidRPr="006A47B7">
              <w:rPr>
                <w:rFonts w:asciiTheme="majorBidi" w:hAnsiTheme="majorBidi" w:cstheme="majorBidi"/>
                <w:sz w:val="24"/>
                <w:szCs w:val="24"/>
                <w:shd w:val="clear" w:color="FFFFFF" w:fill="auto"/>
              </w:rPr>
              <w:t>0.2-2.40)</w:t>
            </w:r>
          </w:p>
        </w:tc>
      </w:tr>
      <w:tr w:rsidR="00B6718E" w:rsidRPr="006A47B7" w14:paraId="36D08FB8" w14:textId="77777777" w:rsidTr="00B6718E">
        <w:trPr>
          <w:cnfStyle w:val="000000100000" w:firstRow="0" w:lastRow="0" w:firstColumn="0" w:lastColumn="0" w:oddVBand="0" w:evenVBand="0" w:oddHBand="1" w:evenHBand="0" w:firstRowFirstColumn="0" w:firstRowLastColumn="0" w:lastRowFirstColumn="0" w:lastRowLastColumn="0"/>
          <w:trHeight w:val="1"/>
        </w:trPr>
        <w:tc>
          <w:tcPr>
            <w:tcW w:w="1270" w:type="pct"/>
          </w:tcPr>
          <w:p w14:paraId="03FE310C" w14:textId="77777777" w:rsidR="00B6718E" w:rsidRPr="006A47B7" w:rsidRDefault="00B6718E" w:rsidP="00507FDA">
            <w:pPr>
              <w:spacing w:line="360" w:lineRule="auto"/>
              <w:rPr>
                <w:rFonts w:asciiTheme="majorBidi" w:hAnsiTheme="majorBidi" w:cstheme="majorBidi"/>
                <w:sz w:val="24"/>
                <w:szCs w:val="24"/>
              </w:rPr>
            </w:pPr>
            <w:r w:rsidRPr="006A47B7">
              <w:rPr>
                <w:rFonts w:asciiTheme="majorBidi" w:eastAsia="Times New Roman" w:hAnsiTheme="majorBidi" w:cstheme="majorBidi"/>
                <w:b/>
                <w:bCs/>
                <w:color w:val="000000"/>
                <w:sz w:val="24"/>
                <w:szCs w:val="24"/>
                <w:shd w:val="clear" w:color="FFFFFF" w:fill="auto"/>
              </w:rPr>
              <w:t>SVC-CI (%)</w:t>
            </w:r>
          </w:p>
        </w:tc>
        <w:tc>
          <w:tcPr>
            <w:tcW w:w="2046" w:type="pct"/>
          </w:tcPr>
          <w:p w14:paraId="49AC5CB8" w14:textId="77777777" w:rsidR="00B6718E" w:rsidRPr="006A47B7" w:rsidRDefault="00B6718E" w:rsidP="00507FDA">
            <w:pPr>
              <w:spacing w:line="360" w:lineRule="auto"/>
              <w:rPr>
                <w:rFonts w:asciiTheme="majorBidi" w:hAnsiTheme="majorBidi" w:cstheme="majorBidi"/>
                <w:sz w:val="24"/>
                <w:szCs w:val="24"/>
              </w:rPr>
            </w:pPr>
            <w:proofErr w:type="spellStart"/>
            <w:r w:rsidRPr="006A47B7">
              <w:rPr>
                <w:rFonts w:asciiTheme="majorBidi" w:eastAsia="Times New Roman" w:hAnsiTheme="majorBidi" w:cstheme="majorBidi"/>
                <w:sz w:val="24"/>
                <w:szCs w:val="24"/>
                <w:shd w:val="clear" w:color="FFFFFF" w:fill="auto"/>
              </w:rPr>
              <w:t>mean±SD</w:t>
            </w:r>
            <w:proofErr w:type="spellEnd"/>
            <w:r w:rsidRPr="006A47B7">
              <w:rPr>
                <w:rFonts w:asciiTheme="majorBidi" w:eastAsia="Times New Roman" w:hAnsiTheme="majorBidi" w:cstheme="majorBidi"/>
                <w:sz w:val="24"/>
                <w:szCs w:val="24"/>
                <w:shd w:val="clear" w:color="FFFFFF" w:fill="auto"/>
              </w:rPr>
              <w:t xml:space="preserve"> (Minimum-maximum)</w:t>
            </w:r>
          </w:p>
        </w:tc>
        <w:tc>
          <w:tcPr>
            <w:tcW w:w="1684" w:type="pct"/>
          </w:tcPr>
          <w:p w14:paraId="746DE3FE" w14:textId="77777777" w:rsidR="00B6718E" w:rsidRPr="006A47B7" w:rsidRDefault="00B6718E" w:rsidP="00507FDA">
            <w:pPr>
              <w:spacing w:line="360" w:lineRule="auto"/>
              <w:ind w:left="60" w:right="60"/>
              <w:jc w:val="center"/>
              <w:rPr>
                <w:rFonts w:asciiTheme="majorBidi" w:eastAsia="Times New Roman" w:hAnsiTheme="majorBidi" w:cstheme="majorBidi"/>
                <w:sz w:val="24"/>
                <w:szCs w:val="24"/>
                <w:shd w:val="clear" w:color="FFFFFF" w:fill="auto"/>
              </w:rPr>
            </w:pPr>
            <w:r w:rsidRPr="006A47B7">
              <w:rPr>
                <w:rFonts w:asciiTheme="majorBidi" w:eastAsia="Arial" w:hAnsiTheme="majorBidi" w:cstheme="majorBidi"/>
                <w:color w:val="010205"/>
                <w:sz w:val="24"/>
                <w:szCs w:val="24"/>
                <w:shd w:val="clear" w:color="FFFFFF" w:fill="auto"/>
              </w:rPr>
              <w:t xml:space="preserve">28.9±13.1 </w:t>
            </w:r>
            <w:r w:rsidRPr="006A47B7">
              <w:rPr>
                <w:rFonts w:asciiTheme="majorBidi" w:eastAsia="Times New Roman" w:hAnsiTheme="majorBidi" w:cstheme="majorBidi"/>
                <w:sz w:val="24"/>
                <w:szCs w:val="24"/>
                <w:shd w:val="clear" w:color="FFFFFF" w:fill="auto"/>
              </w:rPr>
              <w:t>(</w:t>
            </w:r>
            <w:r w:rsidRPr="006A47B7">
              <w:rPr>
                <w:rFonts w:asciiTheme="majorBidi" w:hAnsiTheme="majorBidi" w:cstheme="majorBidi"/>
                <w:sz w:val="24"/>
                <w:szCs w:val="24"/>
                <w:shd w:val="clear" w:color="FFFFFF" w:fill="auto"/>
              </w:rPr>
              <w:t>7.6%-62%)</w:t>
            </w:r>
          </w:p>
        </w:tc>
      </w:tr>
    </w:tbl>
    <w:p w14:paraId="7A2656D7" w14:textId="77777777" w:rsidR="000217C4" w:rsidRPr="006A47B7" w:rsidRDefault="000217C4" w:rsidP="00507FDA">
      <w:pPr>
        <w:spacing w:line="360" w:lineRule="auto"/>
        <w:rPr>
          <w:rFonts w:asciiTheme="majorBidi" w:eastAsia="Times New Roman" w:hAnsiTheme="majorBidi" w:cstheme="majorBidi"/>
          <w:b/>
          <w:bCs/>
          <w:color w:val="000000"/>
          <w:sz w:val="24"/>
          <w:szCs w:val="24"/>
          <w:shd w:val="clear" w:color="FFFFFF" w:fill="auto"/>
        </w:rPr>
      </w:pPr>
    </w:p>
    <w:p w14:paraId="2BDE5D82" w14:textId="77777777" w:rsidR="00B51B47" w:rsidRPr="006A47B7" w:rsidRDefault="005039D9" w:rsidP="00507FDA">
      <w:pPr>
        <w:spacing w:line="360" w:lineRule="auto"/>
        <w:rPr>
          <w:rFonts w:asciiTheme="majorBidi" w:hAnsiTheme="majorBidi" w:cstheme="majorBidi"/>
          <w:sz w:val="24"/>
          <w:szCs w:val="24"/>
        </w:rPr>
      </w:pPr>
      <w:r w:rsidRPr="006A47B7">
        <w:rPr>
          <w:rFonts w:asciiTheme="majorBidi" w:eastAsia="Times New Roman" w:hAnsiTheme="majorBidi" w:cstheme="majorBidi"/>
          <w:b/>
          <w:bCs/>
          <w:color w:val="000000"/>
          <w:sz w:val="24"/>
          <w:szCs w:val="24"/>
          <w:shd w:val="clear" w:color="FFFFFF" w:fill="auto"/>
        </w:rPr>
        <w:t>Table (</w:t>
      </w:r>
      <w:r w:rsidR="000217C4" w:rsidRPr="006A47B7">
        <w:rPr>
          <w:rFonts w:asciiTheme="majorBidi" w:eastAsia="Times New Roman" w:hAnsiTheme="majorBidi" w:cstheme="majorBidi"/>
          <w:b/>
          <w:bCs/>
          <w:color w:val="000000"/>
          <w:sz w:val="24"/>
          <w:szCs w:val="24"/>
          <w:shd w:val="clear" w:color="FFFFFF" w:fill="auto"/>
        </w:rPr>
        <w:t>2</w:t>
      </w:r>
      <w:r w:rsidRPr="006A47B7">
        <w:rPr>
          <w:rFonts w:asciiTheme="majorBidi" w:eastAsia="Times New Roman" w:hAnsiTheme="majorBidi" w:cstheme="majorBidi"/>
          <w:b/>
          <w:bCs/>
          <w:color w:val="000000"/>
          <w:sz w:val="24"/>
          <w:szCs w:val="24"/>
          <w:shd w:val="clear" w:color="FFFFFF" w:fill="auto"/>
        </w:rPr>
        <w:t>).  Comparison of SVC among studied cases according to CVP.</w:t>
      </w:r>
    </w:p>
    <w:tbl>
      <w:tblPr>
        <w:tblStyle w:val="LightList-Accent5"/>
        <w:tblW w:w="5000" w:type="pct"/>
        <w:tblLook w:val="0400" w:firstRow="0" w:lastRow="0" w:firstColumn="0" w:lastColumn="0" w:noHBand="0" w:noVBand="1"/>
      </w:tblPr>
      <w:tblGrid>
        <w:gridCol w:w="1286"/>
        <w:gridCol w:w="2518"/>
        <w:gridCol w:w="2409"/>
        <w:gridCol w:w="2350"/>
        <w:gridCol w:w="1013"/>
      </w:tblGrid>
      <w:tr w:rsidR="00B51B47" w:rsidRPr="00E60581" w14:paraId="35AAFE1C" w14:textId="77777777" w:rsidTr="000217C4">
        <w:trPr>
          <w:cnfStyle w:val="000000100000" w:firstRow="0" w:lastRow="0" w:firstColumn="0" w:lastColumn="0" w:oddVBand="0" w:evenVBand="0" w:oddHBand="1" w:evenHBand="0" w:firstRowFirstColumn="0" w:firstRowLastColumn="0" w:lastRowFirstColumn="0" w:lastRowLastColumn="0"/>
          <w:trHeight w:val="1"/>
        </w:trPr>
        <w:tc>
          <w:tcPr>
            <w:tcW w:w="1986" w:type="pct"/>
            <w:gridSpan w:val="2"/>
            <w:vMerge w:val="restart"/>
          </w:tcPr>
          <w:p w14:paraId="0CB6112E" w14:textId="77777777" w:rsidR="00B51B47" w:rsidRPr="00E60581" w:rsidRDefault="00B51B47" w:rsidP="00507FDA">
            <w:pPr>
              <w:spacing w:line="360" w:lineRule="auto"/>
              <w:ind w:left="60" w:right="60"/>
              <w:jc w:val="center"/>
              <w:rPr>
                <w:rFonts w:asciiTheme="majorBidi" w:hAnsiTheme="majorBidi" w:cstheme="majorBidi"/>
              </w:rPr>
            </w:pPr>
          </w:p>
        </w:tc>
        <w:tc>
          <w:tcPr>
            <w:tcW w:w="1258" w:type="pct"/>
          </w:tcPr>
          <w:p w14:paraId="3FBDDA18" w14:textId="77777777" w:rsidR="00B51B47" w:rsidRPr="00E60581" w:rsidRDefault="005039D9" w:rsidP="00507FDA">
            <w:pPr>
              <w:spacing w:line="360" w:lineRule="auto"/>
              <w:ind w:left="60" w:right="60"/>
              <w:jc w:val="center"/>
              <w:rPr>
                <w:rFonts w:asciiTheme="majorBidi" w:hAnsiTheme="majorBidi" w:cstheme="majorBidi"/>
              </w:rPr>
            </w:pPr>
            <w:r w:rsidRPr="00E60581">
              <w:rPr>
                <w:rFonts w:asciiTheme="majorBidi" w:eastAsia="Times New Roman" w:hAnsiTheme="majorBidi" w:cstheme="majorBidi"/>
                <w:b/>
                <w:bCs/>
                <w:color w:val="264A60"/>
                <w:shd w:val="clear" w:color="FFFFFF" w:fill="auto"/>
              </w:rPr>
              <w:t>CVP&lt;10</w:t>
            </w:r>
          </w:p>
        </w:tc>
        <w:tc>
          <w:tcPr>
            <w:tcW w:w="1227" w:type="pct"/>
          </w:tcPr>
          <w:p w14:paraId="71649006" w14:textId="77777777" w:rsidR="00B51B47" w:rsidRPr="00E60581" w:rsidRDefault="005039D9" w:rsidP="00507FDA">
            <w:pPr>
              <w:spacing w:line="360" w:lineRule="auto"/>
              <w:ind w:left="60" w:right="60"/>
              <w:jc w:val="center"/>
              <w:rPr>
                <w:rFonts w:asciiTheme="majorBidi" w:hAnsiTheme="majorBidi" w:cstheme="majorBidi"/>
              </w:rPr>
            </w:pPr>
            <w:r w:rsidRPr="00E60581">
              <w:rPr>
                <w:rFonts w:asciiTheme="majorBidi" w:eastAsia="Times New Roman" w:hAnsiTheme="majorBidi" w:cstheme="majorBidi"/>
                <w:b/>
                <w:bCs/>
                <w:color w:val="264A60"/>
                <w:shd w:val="clear" w:color="FFFFFF" w:fill="auto"/>
              </w:rPr>
              <w:t>CVP</w:t>
            </w:r>
            <w:r w:rsidRPr="00E60581">
              <w:rPr>
                <w:rFonts w:asciiTheme="majorBidi" w:eastAsia="Cambria Math" w:hAnsiTheme="majorBidi" w:cstheme="majorBidi"/>
                <w:b/>
                <w:bCs/>
                <w:color w:val="264A60"/>
                <w:shd w:val="clear" w:color="FFFFFF" w:fill="auto"/>
              </w:rPr>
              <w:t>≥</w:t>
            </w:r>
            <w:r w:rsidRPr="00E60581">
              <w:rPr>
                <w:rFonts w:asciiTheme="majorBidi" w:eastAsia="Times New Roman" w:hAnsiTheme="majorBidi" w:cstheme="majorBidi"/>
                <w:b/>
                <w:bCs/>
                <w:color w:val="264A60"/>
                <w:shd w:val="clear" w:color="FFFFFF" w:fill="auto"/>
              </w:rPr>
              <w:t>10</w:t>
            </w:r>
          </w:p>
        </w:tc>
        <w:tc>
          <w:tcPr>
            <w:tcW w:w="529" w:type="pct"/>
            <w:vMerge w:val="restart"/>
          </w:tcPr>
          <w:p w14:paraId="39F6370F" w14:textId="77777777" w:rsidR="00B51B47" w:rsidRPr="00E60581" w:rsidRDefault="005039D9" w:rsidP="00507FDA">
            <w:pPr>
              <w:spacing w:line="360" w:lineRule="auto"/>
              <w:ind w:left="60" w:right="60"/>
              <w:jc w:val="center"/>
              <w:rPr>
                <w:rFonts w:asciiTheme="majorBidi" w:hAnsiTheme="majorBidi" w:cstheme="majorBidi"/>
              </w:rPr>
            </w:pPr>
            <w:r w:rsidRPr="00E60581">
              <w:rPr>
                <w:rFonts w:asciiTheme="majorBidi" w:eastAsia="Times New Roman" w:hAnsiTheme="majorBidi" w:cstheme="majorBidi"/>
                <w:b/>
                <w:bCs/>
                <w:i/>
                <w:iCs/>
                <w:color w:val="000000"/>
                <w:shd w:val="clear" w:color="FFFFFF" w:fill="auto"/>
              </w:rPr>
              <w:t>p</w:t>
            </w:r>
          </w:p>
        </w:tc>
      </w:tr>
      <w:tr w:rsidR="00B51B47" w:rsidRPr="00E60581" w14:paraId="7BF92318" w14:textId="77777777" w:rsidTr="000217C4">
        <w:trPr>
          <w:trHeight w:val="1"/>
        </w:trPr>
        <w:tc>
          <w:tcPr>
            <w:tcW w:w="1986" w:type="pct"/>
            <w:gridSpan w:val="2"/>
            <w:vMerge/>
          </w:tcPr>
          <w:p w14:paraId="7BE352D5" w14:textId="77777777" w:rsidR="00B51B47" w:rsidRPr="00E60581" w:rsidRDefault="00B51B47" w:rsidP="00507FDA">
            <w:pPr>
              <w:spacing w:line="360" w:lineRule="auto"/>
              <w:ind w:left="60" w:right="60"/>
              <w:jc w:val="center"/>
              <w:rPr>
                <w:rFonts w:asciiTheme="majorBidi" w:hAnsiTheme="majorBidi" w:cstheme="majorBidi"/>
              </w:rPr>
            </w:pPr>
          </w:p>
        </w:tc>
        <w:tc>
          <w:tcPr>
            <w:tcW w:w="1258" w:type="pct"/>
          </w:tcPr>
          <w:p w14:paraId="5AEDAD56" w14:textId="77777777" w:rsidR="00B51B47" w:rsidRPr="00E60581" w:rsidRDefault="005039D9" w:rsidP="00507FDA">
            <w:pPr>
              <w:spacing w:line="360" w:lineRule="auto"/>
              <w:ind w:left="60" w:right="60"/>
              <w:jc w:val="center"/>
              <w:rPr>
                <w:rFonts w:asciiTheme="majorBidi" w:hAnsiTheme="majorBidi" w:cstheme="majorBidi"/>
              </w:rPr>
            </w:pPr>
            <w:r w:rsidRPr="00E60581">
              <w:rPr>
                <w:rFonts w:asciiTheme="majorBidi" w:eastAsia="Times New Roman" w:hAnsiTheme="majorBidi" w:cstheme="majorBidi"/>
                <w:b/>
                <w:bCs/>
                <w:color w:val="264A60"/>
                <w:shd w:val="clear" w:color="FFFFFF" w:fill="auto"/>
              </w:rPr>
              <w:t>N=76</w:t>
            </w:r>
          </w:p>
        </w:tc>
        <w:tc>
          <w:tcPr>
            <w:tcW w:w="1227" w:type="pct"/>
          </w:tcPr>
          <w:p w14:paraId="6B1FB519" w14:textId="77777777" w:rsidR="00B51B47" w:rsidRPr="00E60581" w:rsidRDefault="005039D9" w:rsidP="00507FDA">
            <w:pPr>
              <w:spacing w:line="360" w:lineRule="auto"/>
              <w:ind w:left="60" w:right="60"/>
              <w:jc w:val="center"/>
              <w:rPr>
                <w:rFonts w:asciiTheme="majorBidi" w:hAnsiTheme="majorBidi" w:cstheme="majorBidi"/>
              </w:rPr>
            </w:pPr>
            <w:r w:rsidRPr="00E60581">
              <w:rPr>
                <w:rFonts w:asciiTheme="majorBidi" w:eastAsia="Times New Roman" w:hAnsiTheme="majorBidi" w:cstheme="majorBidi"/>
                <w:b/>
                <w:bCs/>
                <w:color w:val="264A60"/>
                <w:shd w:val="clear" w:color="FFFFFF" w:fill="auto"/>
              </w:rPr>
              <w:t>N=24</w:t>
            </w:r>
          </w:p>
        </w:tc>
        <w:tc>
          <w:tcPr>
            <w:tcW w:w="529" w:type="pct"/>
            <w:vMerge/>
          </w:tcPr>
          <w:p w14:paraId="3A737FC3" w14:textId="77777777" w:rsidR="00B51B47" w:rsidRPr="00E60581" w:rsidRDefault="00B51B47" w:rsidP="00507FDA">
            <w:pPr>
              <w:spacing w:line="360" w:lineRule="auto"/>
              <w:ind w:left="60" w:right="60"/>
              <w:jc w:val="center"/>
              <w:rPr>
                <w:rFonts w:asciiTheme="majorBidi" w:hAnsiTheme="majorBidi" w:cstheme="majorBidi"/>
              </w:rPr>
            </w:pPr>
          </w:p>
        </w:tc>
      </w:tr>
      <w:tr w:rsidR="008D0F3A" w:rsidRPr="00E60581" w14:paraId="1F542EAC" w14:textId="77777777" w:rsidTr="000217C4">
        <w:trPr>
          <w:cnfStyle w:val="000000100000" w:firstRow="0" w:lastRow="0" w:firstColumn="0" w:lastColumn="0" w:oddVBand="0" w:evenVBand="0" w:oddHBand="1" w:evenHBand="0" w:firstRowFirstColumn="0" w:firstRowLastColumn="0" w:lastRowFirstColumn="0" w:lastRowLastColumn="0"/>
          <w:trHeight w:val="1"/>
        </w:trPr>
        <w:tc>
          <w:tcPr>
            <w:tcW w:w="671" w:type="pct"/>
          </w:tcPr>
          <w:p w14:paraId="1FC445F5" w14:textId="77777777" w:rsidR="008D0F3A" w:rsidRPr="00E60581" w:rsidRDefault="008D0F3A" w:rsidP="00507FDA">
            <w:pPr>
              <w:tabs>
                <w:tab w:val="center" w:pos="1240"/>
                <w:tab w:val="right" w:pos="2420"/>
              </w:tabs>
              <w:spacing w:line="360" w:lineRule="auto"/>
              <w:ind w:left="60" w:right="60"/>
              <w:rPr>
                <w:rFonts w:asciiTheme="majorBidi" w:hAnsiTheme="majorBidi" w:cstheme="majorBidi"/>
              </w:rPr>
            </w:pPr>
            <w:proofErr w:type="spellStart"/>
            <w:r w:rsidRPr="00E60581">
              <w:rPr>
                <w:rFonts w:asciiTheme="majorBidi" w:eastAsia="Times New Roman" w:hAnsiTheme="majorBidi" w:cstheme="majorBidi"/>
                <w:b/>
                <w:bCs/>
                <w:color w:val="000000"/>
                <w:shd w:val="clear" w:color="FFFFFF" w:fill="auto"/>
              </w:rPr>
              <w:t>dSVC</w:t>
            </w:r>
            <w:proofErr w:type="spellEnd"/>
            <w:r w:rsidRPr="00E60581">
              <w:rPr>
                <w:rFonts w:asciiTheme="majorBidi" w:eastAsia="Times New Roman" w:hAnsiTheme="majorBidi" w:cstheme="majorBidi"/>
                <w:b/>
                <w:bCs/>
                <w:color w:val="000000"/>
                <w:shd w:val="clear" w:color="FFFFFF" w:fill="auto"/>
              </w:rPr>
              <w:t xml:space="preserve"> max</w:t>
            </w:r>
          </w:p>
        </w:tc>
        <w:tc>
          <w:tcPr>
            <w:tcW w:w="1315" w:type="pct"/>
          </w:tcPr>
          <w:p w14:paraId="47BC93C2" w14:textId="77777777" w:rsidR="008D0F3A" w:rsidRPr="00E60581" w:rsidRDefault="008D0F3A" w:rsidP="00507FDA">
            <w:pPr>
              <w:spacing w:line="360" w:lineRule="auto"/>
              <w:rPr>
                <w:rFonts w:asciiTheme="majorBidi" w:hAnsiTheme="majorBidi" w:cstheme="majorBidi"/>
              </w:rPr>
            </w:pPr>
            <w:proofErr w:type="spellStart"/>
            <w:r w:rsidRPr="00E60581">
              <w:rPr>
                <w:rFonts w:asciiTheme="majorBidi" w:eastAsia="Times New Roman" w:hAnsiTheme="majorBidi" w:cstheme="majorBidi"/>
                <w:shd w:val="clear" w:color="FFFFFF" w:fill="auto"/>
              </w:rPr>
              <w:t>mean±SD</w:t>
            </w:r>
            <w:proofErr w:type="spellEnd"/>
            <w:r w:rsidRPr="00E60581">
              <w:rPr>
                <w:rFonts w:asciiTheme="majorBidi" w:eastAsia="Times New Roman" w:hAnsiTheme="majorBidi" w:cstheme="majorBidi"/>
                <w:shd w:val="clear" w:color="FFFFFF" w:fill="auto"/>
              </w:rPr>
              <w:t xml:space="preserve"> (Minimum-maximum)</w:t>
            </w:r>
          </w:p>
        </w:tc>
        <w:tc>
          <w:tcPr>
            <w:tcW w:w="1258" w:type="pct"/>
          </w:tcPr>
          <w:p w14:paraId="287D4575" w14:textId="77777777" w:rsidR="008D0F3A" w:rsidRPr="00E60581" w:rsidRDefault="008D0F3A" w:rsidP="00507FDA">
            <w:pPr>
              <w:spacing w:line="360" w:lineRule="auto"/>
              <w:ind w:left="60" w:right="60"/>
              <w:jc w:val="center"/>
              <w:rPr>
                <w:rFonts w:asciiTheme="majorBidi" w:hAnsiTheme="majorBidi" w:cstheme="majorBidi"/>
              </w:rPr>
            </w:pPr>
            <w:r w:rsidRPr="00E60581">
              <w:rPr>
                <w:rFonts w:asciiTheme="majorBidi" w:hAnsiTheme="majorBidi" w:cstheme="majorBidi"/>
                <w:color w:val="000000"/>
                <w:shd w:val="clear" w:color="FFFFFF" w:fill="auto"/>
              </w:rPr>
              <w:t>1.3</w:t>
            </w:r>
            <w:r w:rsidRPr="00E60581">
              <w:rPr>
                <w:rFonts w:asciiTheme="majorBidi" w:eastAsia="Times New Roman" w:hAnsiTheme="majorBidi" w:cstheme="majorBidi"/>
                <w:b/>
                <w:bCs/>
                <w:color w:val="000000"/>
                <w:shd w:val="clear" w:color="FFFFFF" w:fill="auto"/>
              </w:rPr>
              <w:t>±</w:t>
            </w:r>
            <w:r w:rsidRPr="00E60581">
              <w:rPr>
                <w:rFonts w:asciiTheme="majorBidi" w:hAnsiTheme="majorBidi" w:cstheme="majorBidi"/>
                <w:color w:val="000000"/>
                <w:shd w:val="clear" w:color="FFFFFF" w:fill="auto"/>
              </w:rPr>
              <w:t>0.4 (0.5-2.3)</w:t>
            </w:r>
          </w:p>
        </w:tc>
        <w:tc>
          <w:tcPr>
            <w:tcW w:w="1227" w:type="pct"/>
          </w:tcPr>
          <w:p w14:paraId="68DE5405" w14:textId="77777777" w:rsidR="008D0F3A" w:rsidRPr="00E60581" w:rsidRDefault="008D0F3A" w:rsidP="00507FDA">
            <w:pPr>
              <w:spacing w:line="360" w:lineRule="auto"/>
              <w:ind w:left="60" w:right="60"/>
              <w:jc w:val="center"/>
              <w:rPr>
                <w:rFonts w:asciiTheme="majorBidi" w:hAnsiTheme="majorBidi" w:cstheme="majorBidi"/>
              </w:rPr>
            </w:pPr>
            <w:r w:rsidRPr="00E60581">
              <w:rPr>
                <w:rFonts w:asciiTheme="majorBidi" w:hAnsiTheme="majorBidi" w:cstheme="majorBidi"/>
                <w:color w:val="000000"/>
                <w:shd w:val="clear" w:color="FFFFFF" w:fill="auto"/>
              </w:rPr>
              <w:t>2.2</w:t>
            </w:r>
            <w:r w:rsidRPr="00E60581">
              <w:rPr>
                <w:rFonts w:asciiTheme="majorBidi" w:eastAsia="Times New Roman" w:hAnsiTheme="majorBidi" w:cstheme="majorBidi"/>
                <w:b/>
                <w:bCs/>
                <w:color w:val="000000"/>
                <w:shd w:val="clear" w:color="FFFFFF" w:fill="auto"/>
              </w:rPr>
              <w:t>±</w:t>
            </w:r>
            <w:r w:rsidRPr="00E60581">
              <w:rPr>
                <w:rFonts w:asciiTheme="majorBidi" w:hAnsiTheme="majorBidi" w:cstheme="majorBidi"/>
                <w:color w:val="000000"/>
                <w:shd w:val="clear" w:color="FFFFFF" w:fill="auto"/>
              </w:rPr>
              <w:t>0.3 (1.7-2.6)</w:t>
            </w:r>
          </w:p>
        </w:tc>
        <w:tc>
          <w:tcPr>
            <w:tcW w:w="529" w:type="pct"/>
          </w:tcPr>
          <w:p w14:paraId="344A3EB3" w14:textId="77777777" w:rsidR="008D0F3A" w:rsidRPr="00E60581" w:rsidRDefault="008D0F3A" w:rsidP="00507FDA">
            <w:pPr>
              <w:spacing w:line="360" w:lineRule="auto"/>
              <w:ind w:left="60" w:right="60"/>
              <w:jc w:val="center"/>
              <w:rPr>
                <w:rFonts w:asciiTheme="majorBidi" w:hAnsiTheme="majorBidi" w:cstheme="majorBidi"/>
              </w:rPr>
            </w:pPr>
            <w:r w:rsidRPr="00E60581">
              <w:rPr>
                <w:rFonts w:asciiTheme="majorBidi" w:eastAsia="Times New Roman" w:hAnsiTheme="majorBidi" w:cstheme="majorBidi"/>
                <w:b/>
                <w:bCs/>
                <w:shd w:val="clear" w:color="FFFFFF" w:fill="auto"/>
              </w:rPr>
              <w:t>&lt;0.001</w:t>
            </w:r>
          </w:p>
        </w:tc>
      </w:tr>
      <w:tr w:rsidR="008D0F3A" w:rsidRPr="00E60581" w14:paraId="1078A77B" w14:textId="77777777" w:rsidTr="000217C4">
        <w:trPr>
          <w:trHeight w:val="1"/>
        </w:trPr>
        <w:tc>
          <w:tcPr>
            <w:tcW w:w="671" w:type="pct"/>
          </w:tcPr>
          <w:p w14:paraId="7B8F478F" w14:textId="77777777" w:rsidR="008D0F3A" w:rsidRPr="00E60581" w:rsidRDefault="008D0F3A" w:rsidP="00507FDA">
            <w:pPr>
              <w:tabs>
                <w:tab w:val="center" w:pos="1240"/>
                <w:tab w:val="right" w:pos="2420"/>
              </w:tabs>
              <w:spacing w:line="360" w:lineRule="auto"/>
              <w:ind w:left="60" w:right="60"/>
              <w:rPr>
                <w:rFonts w:asciiTheme="majorBidi" w:hAnsiTheme="majorBidi" w:cstheme="majorBidi"/>
              </w:rPr>
            </w:pPr>
            <w:proofErr w:type="spellStart"/>
            <w:r w:rsidRPr="00E60581">
              <w:rPr>
                <w:rFonts w:asciiTheme="majorBidi" w:eastAsia="Times New Roman" w:hAnsiTheme="majorBidi" w:cstheme="majorBidi"/>
                <w:b/>
                <w:bCs/>
                <w:color w:val="000000"/>
                <w:shd w:val="clear" w:color="FFFFFF" w:fill="auto"/>
              </w:rPr>
              <w:t>dSVC</w:t>
            </w:r>
            <w:proofErr w:type="spellEnd"/>
            <w:r w:rsidRPr="00E60581">
              <w:rPr>
                <w:rFonts w:asciiTheme="majorBidi" w:eastAsia="Times New Roman" w:hAnsiTheme="majorBidi" w:cstheme="majorBidi"/>
                <w:b/>
                <w:bCs/>
                <w:color w:val="000000"/>
                <w:shd w:val="clear" w:color="FFFFFF" w:fill="auto"/>
              </w:rPr>
              <w:t xml:space="preserve"> min</w:t>
            </w:r>
          </w:p>
        </w:tc>
        <w:tc>
          <w:tcPr>
            <w:tcW w:w="1315" w:type="pct"/>
          </w:tcPr>
          <w:p w14:paraId="42B9394D" w14:textId="77777777" w:rsidR="008D0F3A" w:rsidRPr="00E60581" w:rsidRDefault="008D0F3A" w:rsidP="00507FDA">
            <w:pPr>
              <w:spacing w:line="360" w:lineRule="auto"/>
              <w:rPr>
                <w:rFonts w:asciiTheme="majorBidi" w:hAnsiTheme="majorBidi" w:cstheme="majorBidi"/>
              </w:rPr>
            </w:pPr>
            <w:proofErr w:type="spellStart"/>
            <w:r w:rsidRPr="00E60581">
              <w:rPr>
                <w:rFonts w:asciiTheme="majorBidi" w:eastAsia="Times New Roman" w:hAnsiTheme="majorBidi" w:cstheme="majorBidi"/>
                <w:shd w:val="clear" w:color="FFFFFF" w:fill="auto"/>
              </w:rPr>
              <w:t>mean±SD</w:t>
            </w:r>
            <w:proofErr w:type="spellEnd"/>
            <w:r w:rsidRPr="00E60581">
              <w:rPr>
                <w:rFonts w:asciiTheme="majorBidi" w:eastAsia="Times New Roman" w:hAnsiTheme="majorBidi" w:cstheme="majorBidi"/>
                <w:shd w:val="clear" w:color="FFFFFF" w:fill="auto"/>
              </w:rPr>
              <w:t xml:space="preserve"> (Minimum-maximum)</w:t>
            </w:r>
          </w:p>
        </w:tc>
        <w:tc>
          <w:tcPr>
            <w:tcW w:w="1258" w:type="pct"/>
          </w:tcPr>
          <w:p w14:paraId="56D81EA8" w14:textId="77777777" w:rsidR="008D0F3A" w:rsidRPr="00E60581" w:rsidRDefault="008D0F3A" w:rsidP="00507FDA">
            <w:pPr>
              <w:spacing w:line="360" w:lineRule="auto"/>
              <w:ind w:left="60" w:right="60"/>
              <w:jc w:val="center"/>
              <w:rPr>
                <w:rFonts w:asciiTheme="majorBidi" w:hAnsiTheme="majorBidi" w:cstheme="majorBidi"/>
              </w:rPr>
            </w:pPr>
            <w:r w:rsidRPr="00E60581">
              <w:rPr>
                <w:rFonts w:asciiTheme="majorBidi" w:hAnsiTheme="majorBidi" w:cstheme="majorBidi"/>
                <w:color w:val="000000"/>
                <w:shd w:val="clear" w:color="FFFFFF" w:fill="auto"/>
              </w:rPr>
              <w:t>0.9</w:t>
            </w:r>
            <w:r w:rsidRPr="00E60581">
              <w:rPr>
                <w:rFonts w:asciiTheme="majorBidi" w:eastAsia="Times New Roman" w:hAnsiTheme="majorBidi" w:cstheme="majorBidi"/>
                <w:b/>
                <w:bCs/>
                <w:color w:val="000000"/>
                <w:shd w:val="clear" w:color="FFFFFF" w:fill="auto"/>
              </w:rPr>
              <w:t>±</w:t>
            </w:r>
            <w:r w:rsidRPr="00E60581">
              <w:rPr>
                <w:rFonts w:asciiTheme="majorBidi" w:hAnsiTheme="majorBidi" w:cstheme="majorBidi"/>
                <w:color w:val="000000"/>
                <w:shd w:val="clear" w:color="FFFFFF" w:fill="auto"/>
              </w:rPr>
              <w:t>0.4 (0.2-1.7)</w:t>
            </w:r>
          </w:p>
        </w:tc>
        <w:tc>
          <w:tcPr>
            <w:tcW w:w="1227" w:type="pct"/>
          </w:tcPr>
          <w:p w14:paraId="3C1CEB26" w14:textId="77777777" w:rsidR="008D0F3A" w:rsidRPr="00E60581" w:rsidRDefault="008D0F3A" w:rsidP="00507FDA">
            <w:pPr>
              <w:spacing w:line="360" w:lineRule="auto"/>
              <w:ind w:left="60" w:right="60"/>
              <w:jc w:val="center"/>
              <w:rPr>
                <w:rFonts w:asciiTheme="majorBidi" w:hAnsiTheme="majorBidi" w:cstheme="majorBidi"/>
              </w:rPr>
            </w:pPr>
            <w:r w:rsidRPr="00E60581">
              <w:rPr>
                <w:rFonts w:asciiTheme="majorBidi" w:hAnsiTheme="majorBidi" w:cstheme="majorBidi"/>
                <w:color w:val="000000"/>
                <w:shd w:val="clear" w:color="FFFFFF" w:fill="auto"/>
              </w:rPr>
              <w:t>1.6</w:t>
            </w:r>
            <w:r w:rsidRPr="00E60581">
              <w:rPr>
                <w:rFonts w:asciiTheme="majorBidi" w:eastAsia="Times New Roman" w:hAnsiTheme="majorBidi" w:cstheme="majorBidi"/>
                <w:b/>
                <w:bCs/>
                <w:color w:val="000000"/>
                <w:shd w:val="clear" w:color="FFFFFF" w:fill="auto"/>
              </w:rPr>
              <w:t>±</w:t>
            </w:r>
            <w:r w:rsidRPr="00E60581">
              <w:rPr>
                <w:rFonts w:asciiTheme="majorBidi" w:hAnsiTheme="majorBidi" w:cstheme="majorBidi"/>
                <w:color w:val="000000"/>
                <w:shd w:val="clear" w:color="FFFFFF" w:fill="auto"/>
              </w:rPr>
              <w:t>0.3 (1.1-2.4)</w:t>
            </w:r>
          </w:p>
        </w:tc>
        <w:tc>
          <w:tcPr>
            <w:tcW w:w="529" w:type="pct"/>
          </w:tcPr>
          <w:p w14:paraId="3C75DBA9" w14:textId="77777777" w:rsidR="008D0F3A" w:rsidRPr="00E60581" w:rsidRDefault="008D0F3A" w:rsidP="00507FDA">
            <w:pPr>
              <w:spacing w:line="360" w:lineRule="auto"/>
              <w:ind w:left="60" w:right="60"/>
              <w:jc w:val="center"/>
              <w:rPr>
                <w:rFonts w:asciiTheme="majorBidi" w:hAnsiTheme="majorBidi" w:cstheme="majorBidi"/>
              </w:rPr>
            </w:pPr>
            <w:r w:rsidRPr="00E60581">
              <w:rPr>
                <w:rFonts w:asciiTheme="majorBidi" w:eastAsia="Times New Roman" w:hAnsiTheme="majorBidi" w:cstheme="majorBidi"/>
                <w:b/>
                <w:bCs/>
                <w:shd w:val="clear" w:color="FFFFFF" w:fill="auto"/>
              </w:rPr>
              <w:t>&lt;0.001</w:t>
            </w:r>
          </w:p>
        </w:tc>
      </w:tr>
      <w:tr w:rsidR="008D0F3A" w:rsidRPr="00E60581" w14:paraId="4E463F52" w14:textId="77777777" w:rsidTr="000217C4">
        <w:trPr>
          <w:cnfStyle w:val="000000100000" w:firstRow="0" w:lastRow="0" w:firstColumn="0" w:lastColumn="0" w:oddVBand="0" w:evenVBand="0" w:oddHBand="1" w:evenHBand="0" w:firstRowFirstColumn="0" w:firstRowLastColumn="0" w:lastRowFirstColumn="0" w:lastRowLastColumn="0"/>
          <w:trHeight w:val="1"/>
        </w:trPr>
        <w:tc>
          <w:tcPr>
            <w:tcW w:w="671" w:type="pct"/>
          </w:tcPr>
          <w:p w14:paraId="7FBDDF4A" w14:textId="77777777" w:rsidR="008D0F3A" w:rsidRPr="00E60581" w:rsidRDefault="008D0F3A" w:rsidP="00507FDA">
            <w:pPr>
              <w:tabs>
                <w:tab w:val="center" w:pos="1240"/>
                <w:tab w:val="right" w:pos="2420"/>
              </w:tabs>
              <w:spacing w:line="360" w:lineRule="auto"/>
              <w:ind w:left="60" w:right="60"/>
              <w:rPr>
                <w:rFonts w:asciiTheme="majorBidi" w:hAnsiTheme="majorBidi" w:cstheme="majorBidi"/>
              </w:rPr>
            </w:pPr>
            <w:r w:rsidRPr="00E60581">
              <w:rPr>
                <w:rFonts w:asciiTheme="majorBidi" w:eastAsia="Times New Roman" w:hAnsiTheme="majorBidi" w:cstheme="majorBidi"/>
                <w:b/>
                <w:bCs/>
                <w:color w:val="000000"/>
                <w:shd w:val="clear" w:color="FFFFFF" w:fill="auto"/>
              </w:rPr>
              <w:t>SVC-CI%</w:t>
            </w:r>
          </w:p>
        </w:tc>
        <w:tc>
          <w:tcPr>
            <w:tcW w:w="1315" w:type="pct"/>
          </w:tcPr>
          <w:p w14:paraId="322C1045" w14:textId="77777777" w:rsidR="008D0F3A" w:rsidRPr="00E60581" w:rsidRDefault="008D0F3A" w:rsidP="00507FDA">
            <w:pPr>
              <w:spacing w:line="360" w:lineRule="auto"/>
              <w:rPr>
                <w:rFonts w:asciiTheme="majorBidi" w:hAnsiTheme="majorBidi" w:cstheme="majorBidi"/>
              </w:rPr>
            </w:pPr>
            <w:proofErr w:type="spellStart"/>
            <w:r w:rsidRPr="00E60581">
              <w:rPr>
                <w:rFonts w:asciiTheme="majorBidi" w:eastAsia="Times New Roman" w:hAnsiTheme="majorBidi" w:cstheme="majorBidi"/>
                <w:shd w:val="clear" w:color="FFFFFF" w:fill="auto"/>
              </w:rPr>
              <w:t>mean±SD</w:t>
            </w:r>
            <w:proofErr w:type="spellEnd"/>
            <w:r w:rsidRPr="00E60581">
              <w:rPr>
                <w:rFonts w:asciiTheme="majorBidi" w:eastAsia="Times New Roman" w:hAnsiTheme="majorBidi" w:cstheme="majorBidi"/>
                <w:shd w:val="clear" w:color="FFFFFF" w:fill="auto"/>
              </w:rPr>
              <w:t xml:space="preserve"> (Minimum-maximum)</w:t>
            </w:r>
          </w:p>
        </w:tc>
        <w:tc>
          <w:tcPr>
            <w:tcW w:w="1258" w:type="pct"/>
          </w:tcPr>
          <w:p w14:paraId="5F79009B" w14:textId="77777777" w:rsidR="008D0F3A" w:rsidRPr="00E60581" w:rsidRDefault="008D0F3A" w:rsidP="00507FDA">
            <w:pPr>
              <w:spacing w:line="360" w:lineRule="auto"/>
              <w:ind w:left="60" w:right="60"/>
              <w:jc w:val="center"/>
              <w:rPr>
                <w:rFonts w:asciiTheme="majorBidi" w:hAnsiTheme="majorBidi" w:cstheme="majorBidi"/>
              </w:rPr>
            </w:pPr>
            <w:r w:rsidRPr="00E60581">
              <w:rPr>
                <w:rFonts w:asciiTheme="majorBidi" w:eastAsia="Times New Roman" w:hAnsiTheme="majorBidi" w:cstheme="majorBidi"/>
                <w:shd w:val="clear" w:color="FFFFFF" w:fill="auto"/>
              </w:rPr>
              <w:t>29.8%</w:t>
            </w:r>
            <w:r w:rsidRPr="00E60581">
              <w:rPr>
                <w:rFonts w:asciiTheme="majorBidi" w:eastAsia="Times New Roman" w:hAnsiTheme="majorBidi" w:cstheme="majorBidi"/>
                <w:b/>
                <w:bCs/>
                <w:color w:val="000000"/>
                <w:shd w:val="clear" w:color="FFFFFF" w:fill="auto"/>
              </w:rPr>
              <w:t>±</w:t>
            </w:r>
            <w:r w:rsidRPr="00E60581">
              <w:rPr>
                <w:rFonts w:asciiTheme="majorBidi" w:eastAsia="Times New Roman" w:hAnsiTheme="majorBidi" w:cstheme="majorBidi"/>
                <w:shd w:val="clear" w:color="FFFFFF" w:fill="auto"/>
              </w:rPr>
              <w:t xml:space="preserve">13.9% </w:t>
            </w:r>
            <w:r w:rsidRPr="00E60581">
              <w:rPr>
                <w:rFonts w:asciiTheme="majorBidi" w:hAnsiTheme="majorBidi" w:cstheme="majorBidi"/>
                <w:color w:val="000000"/>
                <w:shd w:val="clear" w:color="FFFFFF" w:fill="auto"/>
              </w:rPr>
              <w:t>(</w:t>
            </w:r>
            <w:r w:rsidRPr="00E60581">
              <w:rPr>
                <w:rFonts w:asciiTheme="majorBidi" w:eastAsia="Times New Roman" w:hAnsiTheme="majorBidi" w:cstheme="majorBidi"/>
                <w:shd w:val="clear" w:color="FFFFFF" w:fill="auto"/>
              </w:rPr>
              <w:t>9%-62%</w:t>
            </w:r>
            <w:r w:rsidRPr="00E60581">
              <w:rPr>
                <w:rFonts w:asciiTheme="majorBidi" w:hAnsiTheme="majorBidi" w:cstheme="majorBidi"/>
                <w:color w:val="000000"/>
                <w:shd w:val="clear" w:color="FFFFFF" w:fill="auto"/>
              </w:rPr>
              <w:t>)</w:t>
            </w:r>
          </w:p>
        </w:tc>
        <w:tc>
          <w:tcPr>
            <w:tcW w:w="1227" w:type="pct"/>
          </w:tcPr>
          <w:p w14:paraId="40191679" w14:textId="77777777" w:rsidR="008D0F3A" w:rsidRPr="00E60581" w:rsidRDefault="008D0F3A" w:rsidP="00507FDA">
            <w:pPr>
              <w:spacing w:line="360" w:lineRule="auto"/>
              <w:ind w:left="60" w:right="60"/>
              <w:jc w:val="center"/>
              <w:rPr>
                <w:rFonts w:asciiTheme="majorBidi" w:hAnsiTheme="majorBidi" w:cstheme="majorBidi"/>
              </w:rPr>
            </w:pPr>
            <w:r w:rsidRPr="00E60581">
              <w:rPr>
                <w:rFonts w:asciiTheme="majorBidi" w:eastAsia="Times New Roman" w:hAnsiTheme="majorBidi" w:cstheme="majorBidi"/>
                <w:shd w:val="clear" w:color="FFFFFF" w:fill="auto"/>
              </w:rPr>
              <w:t>26.3%</w:t>
            </w:r>
            <w:r w:rsidRPr="00E60581">
              <w:rPr>
                <w:rFonts w:asciiTheme="majorBidi" w:eastAsia="Times New Roman" w:hAnsiTheme="majorBidi" w:cstheme="majorBidi"/>
                <w:b/>
                <w:bCs/>
                <w:color w:val="000000"/>
                <w:shd w:val="clear" w:color="FFFFFF" w:fill="auto"/>
              </w:rPr>
              <w:t>±</w:t>
            </w:r>
            <w:r w:rsidRPr="00E60581">
              <w:rPr>
                <w:rFonts w:asciiTheme="majorBidi" w:eastAsia="Times New Roman" w:hAnsiTheme="majorBidi" w:cstheme="majorBidi"/>
                <w:shd w:val="clear" w:color="FFFFFF" w:fill="auto"/>
              </w:rPr>
              <w:t xml:space="preserve">10% </w:t>
            </w:r>
            <w:r w:rsidRPr="00E60581">
              <w:rPr>
                <w:rFonts w:asciiTheme="majorBidi" w:hAnsiTheme="majorBidi" w:cstheme="majorBidi"/>
                <w:color w:val="000000"/>
                <w:shd w:val="clear" w:color="FFFFFF" w:fill="auto"/>
              </w:rPr>
              <w:t>(</w:t>
            </w:r>
            <w:r w:rsidRPr="00E60581">
              <w:rPr>
                <w:rFonts w:asciiTheme="majorBidi" w:eastAsia="Times New Roman" w:hAnsiTheme="majorBidi" w:cstheme="majorBidi"/>
                <w:shd w:val="clear" w:color="FFFFFF" w:fill="auto"/>
              </w:rPr>
              <w:t>7.6%-45%</w:t>
            </w:r>
            <w:r w:rsidRPr="00E60581">
              <w:rPr>
                <w:rFonts w:asciiTheme="majorBidi" w:hAnsiTheme="majorBidi" w:cstheme="majorBidi"/>
                <w:color w:val="000000"/>
                <w:shd w:val="clear" w:color="FFFFFF" w:fill="auto"/>
              </w:rPr>
              <w:t>)</w:t>
            </w:r>
          </w:p>
        </w:tc>
        <w:tc>
          <w:tcPr>
            <w:tcW w:w="529" w:type="pct"/>
          </w:tcPr>
          <w:p w14:paraId="1D7FE378" w14:textId="77777777" w:rsidR="008D0F3A" w:rsidRPr="00922A6A" w:rsidRDefault="008D0F3A" w:rsidP="00507FDA">
            <w:pPr>
              <w:spacing w:line="360" w:lineRule="auto"/>
              <w:ind w:left="60" w:right="60"/>
              <w:jc w:val="center"/>
              <w:rPr>
                <w:rFonts w:asciiTheme="majorBidi" w:hAnsiTheme="majorBidi" w:cstheme="majorBidi"/>
                <w:b/>
                <w:bCs/>
              </w:rPr>
            </w:pPr>
            <w:r w:rsidRPr="00922A6A">
              <w:rPr>
                <w:rFonts w:asciiTheme="majorBidi" w:eastAsia="Times New Roman" w:hAnsiTheme="majorBidi" w:cstheme="majorBidi"/>
                <w:b/>
                <w:bCs/>
                <w:shd w:val="clear" w:color="FFFFFF" w:fill="auto"/>
              </w:rPr>
              <w:t>0.</w:t>
            </w:r>
            <w:r w:rsidR="00922A6A" w:rsidRPr="00922A6A">
              <w:rPr>
                <w:rFonts w:asciiTheme="majorBidi" w:eastAsia="Times New Roman" w:hAnsiTheme="majorBidi" w:cstheme="majorBidi"/>
                <w:b/>
                <w:bCs/>
                <w:shd w:val="clear" w:color="FFFFFF" w:fill="auto"/>
              </w:rPr>
              <w:t>025</w:t>
            </w:r>
          </w:p>
        </w:tc>
      </w:tr>
    </w:tbl>
    <w:p w14:paraId="77F806A0" w14:textId="77777777" w:rsidR="00B51B47" w:rsidRPr="006A47B7" w:rsidRDefault="00B51B47" w:rsidP="00507FDA">
      <w:pPr>
        <w:spacing w:before="240" w:after="200" w:line="360" w:lineRule="auto"/>
        <w:jc w:val="both"/>
        <w:rPr>
          <w:rFonts w:asciiTheme="majorBidi" w:hAnsiTheme="majorBidi" w:cstheme="majorBidi"/>
          <w:sz w:val="24"/>
          <w:szCs w:val="24"/>
        </w:rPr>
      </w:pPr>
    </w:p>
    <w:p w14:paraId="0123202A" w14:textId="77777777" w:rsidR="00DC17C7" w:rsidRPr="006A47B7" w:rsidRDefault="00DC17C7" w:rsidP="00507FDA">
      <w:pPr>
        <w:spacing w:line="360" w:lineRule="auto"/>
        <w:rPr>
          <w:rFonts w:asciiTheme="majorBidi" w:eastAsia="Times New Roman" w:hAnsiTheme="majorBidi" w:cstheme="majorBidi"/>
          <w:b/>
          <w:bCs/>
          <w:color w:val="000000"/>
          <w:sz w:val="24"/>
          <w:szCs w:val="24"/>
          <w:shd w:val="clear" w:color="FFFFFF" w:fill="auto"/>
        </w:rPr>
      </w:pPr>
      <w:r w:rsidRPr="006A47B7">
        <w:rPr>
          <w:rFonts w:asciiTheme="majorBidi" w:eastAsia="Times New Roman" w:hAnsiTheme="majorBidi" w:cstheme="majorBidi"/>
          <w:b/>
          <w:bCs/>
          <w:color w:val="000000"/>
          <w:sz w:val="24"/>
          <w:szCs w:val="24"/>
          <w:shd w:val="clear" w:color="FFFFFF" w:fill="auto"/>
        </w:rPr>
        <w:br w:type="page"/>
      </w:r>
    </w:p>
    <w:p w14:paraId="3B959E6F" w14:textId="77777777" w:rsidR="00B51B47" w:rsidRPr="006A47B7" w:rsidRDefault="005039D9" w:rsidP="00507FDA">
      <w:pPr>
        <w:spacing w:line="360" w:lineRule="auto"/>
        <w:rPr>
          <w:rFonts w:asciiTheme="majorBidi" w:hAnsiTheme="majorBidi" w:cstheme="majorBidi"/>
          <w:sz w:val="24"/>
          <w:szCs w:val="24"/>
        </w:rPr>
      </w:pPr>
      <w:r w:rsidRPr="006A47B7">
        <w:rPr>
          <w:rFonts w:asciiTheme="majorBidi" w:eastAsia="Times New Roman" w:hAnsiTheme="majorBidi" w:cstheme="majorBidi"/>
          <w:b/>
          <w:bCs/>
          <w:color w:val="000000"/>
          <w:sz w:val="24"/>
          <w:szCs w:val="24"/>
          <w:shd w:val="clear" w:color="FFFFFF" w:fill="auto"/>
        </w:rPr>
        <w:lastRenderedPageBreak/>
        <w:t>Table (</w:t>
      </w:r>
      <w:r w:rsidR="00D610C3" w:rsidRPr="006A47B7">
        <w:rPr>
          <w:rFonts w:asciiTheme="majorBidi" w:eastAsia="Times New Roman" w:hAnsiTheme="majorBidi" w:cstheme="majorBidi"/>
          <w:b/>
          <w:bCs/>
          <w:color w:val="000000"/>
          <w:sz w:val="24"/>
          <w:szCs w:val="24"/>
          <w:shd w:val="clear" w:color="FFFFFF" w:fill="auto"/>
        </w:rPr>
        <w:t>3</w:t>
      </w:r>
      <w:r w:rsidRPr="006A47B7">
        <w:rPr>
          <w:rFonts w:asciiTheme="majorBidi" w:eastAsia="Times New Roman" w:hAnsiTheme="majorBidi" w:cstheme="majorBidi"/>
          <w:b/>
          <w:bCs/>
          <w:color w:val="000000"/>
          <w:sz w:val="24"/>
          <w:szCs w:val="24"/>
          <w:shd w:val="clear" w:color="FFFFFF" w:fill="auto"/>
        </w:rPr>
        <w:t xml:space="preserve">). Correlation of CVP </w:t>
      </w:r>
      <w:r w:rsidR="00460CC2" w:rsidRPr="006A47B7">
        <w:rPr>
          <w:rFonts w:asciiTheme="majorBidi" w:eastAsia="Times New Roman" w:hAnsiTheme="majorBidi" w:cstheme="majorBidi"/>
          <w:b/>
          <w:bCs/>
          <w:color w:val="000000"/>
          <w:sz w:val="24"/>
          <w:szCs w:val="24"/>
          <w:shd w:val="clear" w:color="FFFFFF" w:fill="auto"/>
        </w:rPr>
        <w:t xml:space="preserve">and SVC-CI % </w:t>
      </w:r>
      <w:r w:rsidRPr="006A47B7">
        <w:rPr>
          <w:rFonts w:asciiTheme="majorBidi" w:eastAsia="Times New Roman" w:hAnsiTheme="majorBidi" w:cstheme="majorBidi"/>
          <w:b/>
          <w:bCs/>
          <w:color w:val="000000"/>
          <w:sz w:val="24"/>
          <w:szCs w:val="24"/>
          <w:shd w:val="clear" w:color="FFFFFF" w:fill="auto"/>
        </w:rPr>
        <w:t>with other studied parameters.</w:t>
      </w:r>
    </w:p>
    <w:tbl>
      <w:tblPr>
        <w:tblStyle w:val="LightList-Accent5"/>
        <w:tblW w:w="0" w:type="auto"/>
        <w:tblLook w:val="0400" w:firstRow="0" w:lastRow="0" w:firstColumn="0" w:lastColumn="0" w:noHBand="0" w:noVBand="1"/>
      </w:tblPr>
      <w:tblGrid>
        <w:gridCol w:w="2004"/>
        <w:gridCol w:w="1989"/>
        <w:gridCol w:w="2041"/>
        <w:gridCol w:w="1771"/>
        <w:gridCol w:w="1771"/>
      </w:tblGrid>
      <w:tr w:rsidR="002E6769" w:rsidRPr="00922A6A" w14:paraId="1B7035CC"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2004" w:type="dxa"/>
            <w:vMerge w:val="restart"/>
          </w:tcPr>
          <w:p w14:paraId="75EBE47C" w14:textId="77777777" w:rsidR="002E6769" w:rsidRPr="00922A6A" w:rsidRDefault="002E6769" w:rsidP="00507FDA">
            <w:pPr>
              <w:spacing w:line="360" w:lineRule="auto"/>
              <w:jc w:val="center"/>
              <w:rPr>
                <w:rFonts w:asciiTheme="majorBidi" w:hAnsiTheme="majorBidi" w:cstheme="majorBidi"/>
              </w:rPr>
            </w:pPr>
          </w:p>
        </w:tc>
        <w:tc>
          <w:tcPr>
            <w:tcW w:w="4030" w:type="dxa"/>
            <w:gridSpan w:val="2"/>
          </w:tcPr>
          <w:p w14:paraId="75A95E62" w14:textId="77777777" w:rsidR="002E6769" w:rsidRPr="00922A6A" w:rsidRDefault="002E6769" w:rsidP="00507FDA">
            <w:pPr>
              <w:spacing w:line="360" w:lineRule="auto"/>
              <w:jc w:val="center"/>
              <w:rPr>
                <w:rFonts w:asciiTheme="majorBidi" w:hAnsiTheme="majorBidi" w:cstheme="majorBidi"/>
                <w:b/>
                <w:bCs/>
              </w:rPr>
            </w:pPr>
            <w:r w:rsidRPr="00922A6A">
              <w:rPr>
                <w:rFonts w:asciiTheme="majorBidi" w:eastAsia="Times New Roman" w:hAnsiTheme="majorBidi" w:cstheme="majorBidi"/>
                <w:b/>
                <w:bCs/>
                <w:shd w:val="clear" w:color="FFFFFF" w:fill="auto"/>
              </w:rPr>
              <w:t>CVP</w:t>
            </w:r>
          </w:p>
        </w:tc>
        <w:tc>
          <w:tcPr>
            <w:tcW w:w="3542" w:type="dxa"/>
            <w:gridSpan w:val="2"/>
          </w:tcPr>
          <w:p w14:paraId="7D96C0D2" w14:textId="77777777" w:rsidR="002E6769" w:rsidRPr="00922A6A" w:rsidRDefault="002E6769" w:rsidP="00507FDA">
            <w:pPr>
              <w:spacing w:line="360" w:lineRule="auto"/>
              <w:jc w:val="center"/>
              <w:rPr>
                <w:rFonts w:asciiTheme="majorBidi" w:eastAsia="Times New Roman" w:hAnsiTheme="majorBidi" w:cstheme="majorBidi"/>
                <w:b/>
                <w:bCs/>
                <w:shd w:val="clear" w:color="FFFFFF" w:fill="auto"/>
              </w:rPr>
            </w:pPr>
            <w:r w:rsidRPr="00922A6A">
              <w:rPr>
                <w:rFonts w:asciiTheme="majorBidi" w:hAnsiTheme="majorBidi" w:cstheme="majorBidi"/>
                <w:b/>
                <w:bCs/>
              </w:rPr>
              <w:t>SVC-CI%</w:t>
            </w:r>
          </w:p>
        </w:tc>
      </w:tr>
      <w:tr w:rsidR="002E6769" w:rsidRPr="00922A6A" w14:paraId="42A029E5" w14:textId="77777777" w:rsidTr="00AB5D22">
        <w:trPr>
          <w:trHeight w:val="1"/>
        </w:trPr>
        <w:tc>
          <w:tcPr>
            <w:tcW w:w="2004" w:type="dxa"/>
            <w:vMerge/>
          </w:tcPr>
          <w:p w14:paraId="3ACC902D" w14:textId="77777777" w:rsidR="002E6769" w:rsidRPr="00922A6A" w:rsidRDefault="002E6769" w:rsidP="00507FDA">
            <w:pPr>
              <w:spacing w:line="360" w:lineRule="auto"/>
              <w:jc w:val="center"/>
              <w:rPr>
                <w:rFonts w:asciiTheme="majorBidi" w:hAnsiTheme="majorBidi" w:cstheme="majorBidi"/>
              </w:rPr>
            </w:pPr>
          </w:p>
        </w:tc>
        <w:tc>
          <w:tcPr>
            <w:tcW w:w="1989" w:type="dxa"/>
          </w:tcPr>
          <w:p w14:paraId="54C3E99C" w14:textId="77777777" w:rsidR="002E6769" w:rsidRPr="00922A6A" w:rsidRDefault="00AB5D22" w:rsidP="00507FDA">
            <w:pPr>
              <w:spacing w:line="360" w:lineRule="auto"/>
              <w:jc w:val="center"/>
              <w:rPr>
                <w:rFonts w:asciiTheme="majorBidi" w:hAnsiTheme="majorBidi" w:cstheme="majorBidi"/>
              </w:rPr>
            </w:pPr>
            <w:r w:rsidRPr="00922A6A">
              <w:rPr>
                <w:rFonts w:asciiTheme="majorBidi" w:eastAsia="Times New Roman" w:hAnsiTheme="majorBidi" w:cstheme="majorBidi"/>
                <w:b/>
                <w:bCs/>
                <w:i/>
                <w:iCs/>
                <w:shd w:val="clear" w:color="FFFFFF" w:fill="auto"/>
              </w:rPr>
              <w:t>coefficient</w:t>
            </w:r>
          </w:p>
        </w:tc>
        <w:tc>
          <w:tcPr>
            <w:tcW w:w="2041" w:type="dxa"/>
          </w:tcPr>
          <w:p w14:paraId="7AE5E8A6" w14:textId="77777777" w:rsidR="002E6769" w:rsidRPr="00922A6A" w:rsidRDefault="002E6769" w:rsidP="00507FDA">
            <w:pPr>
              <w:spacing w:line="360" w:lineRule="auto"/>
              <w:jc w:val="center"/>
              <w:rPr>
                <w:rFonts w:asciiTheme="majorBidi" w:hAnsiTheme="majorBidi" w:cstheme="majorBidi"/>
              </w:rPr>
            </w:pPr>
            <w:r w:rsidRPr="00922A6A">
              <w:rPr>
                <w:rFonts w:asciiTheme="majorBidi" w:eastAsia="Times New Roman" w:hAnsiTheme="majorBidi" w:cstheme="majorBidi"/>
                <w:b/>
                <w:bCs/>
                <w:i/>
                <w:iCs/>
                <w:shd w:val="clear" w:color="FFFFFF" w:fill="auto"/>
              </w:rPr>
              <w:t>p</w:t>
            </w:r>
          </w:p>
        </w:tc>
        <w:tc>
          <w:tcPr>
            <w:tcW w:w="1771" w:type="dxa"/>
          </w:tcPr>
          <w:p w14:paraId="611B267B" w14:textId="77777777" w:rsidR="002E6769" w:rsidRPr="00922A6A" w:rsidRDefault="00AB5D22" w:rsidP="00507FDA">
            <w:pPr>
              <w:spacing w:line="360" w:lineRule="auto"/>
              <w:jc w:val="center"/>
              <w:rPr>
                <w:rFonts w:asciiTheme="majorBidi" w:hAnsiTheme="majorBidi" w:cstheme="majorBidi"/>
              </w:rPr>
            </w:pPr>
            <w:r w:rsidRPr="00922A6A">
              <w:rPr>
                <w:rFonts w:asciiTheme="majorBidi" w:eastAsia="Times New Roman" w:hAnsiTheme="majorBidi" w:cstheme="majorBidi"/>
                <w:b/>
                <w:bCs/>
                <w:i/>
                <w:iCs/>
                <w:shd w:val="clear" w:color="FFFFFF" w:fill="auto"/>
              </w:rPr>
              <w:t>coefficient</w:t>
            </w:r>
          </w:p>
        </w:tc>
        <w:tc>
          <w:tcPr>
            <w:tcW w:w="1771" w:type="dxa"/>
          </w:tcPr>
          <w:p w14:paraId="69A03863" w14:textId="77777777" w:rsidR="002E6769" w:rsidRPr="00922A6A" w:rsidRDefault="002E6769" w:rsidP="00507FDA">
            <w:pPr>
              <w:spacing w:line="360" w:lineRule="auto"/>
              <w:jc w:val="center"/>
              <w:rPr>
                <w:rFonts w:asciiTheme="majorBidi" w:hAnsiTheme="majorBidi" w:cstheme="majorBidi"/>
              </w:rPr>
            </w:pPr>
            <w:r w:rsidRPr="00922A6A">
              <w:rPr>
                <w:rFonts w:asciiTheme="majorBidi" w:eastAsia="Times New Roman" w:hAnsiTheme="majorBidi" w:cstheme="majorBidi"/>
                <w:b/>
                <w:bCs/>
                <w:i/>
                <w:iCs/>
                <w:shd w:val="clear" w:color="FFFFFF" w:fill="auto"/>
              </w:rPr>
              <w:t>p</w:t>
            </w:r>
          </w:p>
        </w:tc>
      </w:tr>
      <w:tr w:rsidR="002E6769" w:rsidRPr="00922A6A" w14:paraId="2BB2B1A4"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2004" w:type="dxa"/>
          </w:tcPr>
          <w:p w14:paraId="157420AB" w14:textId="77777777" w:rsidR="002E6769" w:rsidRPr="00922A6A" w:rsidRDefault="002E6769" w:rsidP="00507FDA">
            <w:pPr>
              <w:spacing w:line="360" w:lineRule="auto"/>
              <w:rPr>
                <w:rFonts w:asciiTheme="majorBidi" w:hAnsiTheme="majorBidi" w:cstheme="majorBidi"/>
                <w:b/>
                <w:bCs/>
              </w:rPr>
            </w:pPr>
            <w:r w:rsidRPr="00922A6A">
              <w:rPr>
                <w:rFonts w:asciiTheme="majorBidi" w:eastAsia="Times New Roman" w:hAnsiTheme="majorBidi" w:cstheme="majorBidi"/>
                <w:b/>
                <w:bCs/>
                <w:shd w:val="clear" w:color="FFFFFF" w:fill="auto"/>
              </w:rPr>
              <w:t>Age</w:t>
            </w:r>
          </w:p>
        </w:tc>
        <w:tc>
          <w:tcPr>
            <w:tcW w:w="1989" w:type="dxa"/>
          </w:tcPr>
          <w:p w14:paraId="2315F7DF"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0.324</w:t>
            </w:r>
          </w:p>
        </w:tc>
        <w:tc>
          <w:tcPr>
            <w:tcW w:w="2041" w:type="dxa"/>
          </w:tcPr>
          <w:p w14:paraId="1CD2DEE3"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b/>
                <w:bCs/>
                <w:shd w:val="clear" w:color="FFFFFF" w:fill="auto"/>
              </w:rPr>
              <w:t>0.001</w:t>
            </w:r>
          </w:p>
        </w:tc>
        <w:tc>
          <w:tcPr>
            <w:tcW w:w="1771" w:type="dxa"/>
          </w:tcPr>
          <w:p w14:paraId="60BD58C5"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rPr>
              <w:t>-0.232</w:t>
            </w:r>
          </w:p>
        </w:tc>
        <w:tc>
          <w:tcPr>
            <w:tcW w:w="1771" w:type="dxa"/>
          </w:tcPr>
          <w:p w14:paraId="5B036125" w14:textId="77777777" w:rsidR="002E6769" w:rsidRPr="00922A6A" w:rsidRDefault="002E6769" w:rsidP="00507FDA">
            <w:pPr>
              <w:spacing w:line="360" w:lineRule="auto"/>
              <w:jc w:val="center"/>
              <w:rPr>
                <w:rFonts w:asciiTheme="majorBidi" w:hAnsiTheme="majorBidi" w:cstheme="majorBidi"/>
                <w:b/>
                <w:bCs/>
              </w:rPr>
            </w:pPr>
            <w:r w:rsidRPr="00922A6A">
              <w:rPr>
                <w:rFonts w:asciiTheme="majorBidi" w:hAnsiTheme="majorBidi" w:cstheme="majorBidi"/>
                <w:b/>
                <w:bCs/>
              </w:rPr>
              <w:t>0.020</w:t>
            </w:r>
          </w:p>
        </w:tc>
      </w:tr>
      <w:tr w:rsidR="002E6769" w:rsidRPr="00922A6A" w14:paraId="3B3A8A36" w14:textId="77777777" w:rsidTr="00AB5D22">
        <w:trPr>
          <w:trHeight w:val="1"/>
        </w:trPr>
        <w:tc>
          <w:tcPr>
            <w:tcW w:w="2004" w:type="dxa"/>
          </w:tcPr>
          <w:p w14:paraId="0155BB52" w14:textId="77777777" w:rsidR="002E6769" w:rsidRPr="00922A6A" w:rsidRDefault="002E6769" w:rsidP="00507FDA">
            <w:pPr>
              <w:spacing w:line="360" w:lineRule="auto"/>
              <w:rPr>
                <w:rFonts w:asciiTheme="majorBidi" w:hAnsiTheme="majorBidi" w:cstheme="majorBidi"/>
                <w:b/>
                <w:bCs/>
              </w:rPr>
            </w:pPr>
            <w:r w:rsidRPr="00922A6A">
              <w:rPr>
                <w:rFonts w:asciiTheme="majorBidi" w:eastAsia="Times New Roman" w:hAnsiTheme="majorBidi" w:cstheme="majorBidi"/>
                <w:b/>
                <w:bCs/>
                <w:shd w:val="clear" w:color="FFFFFF" w:fill="auto"/>
              </w:rPr>
              <w:t>BMI</w:t>
            </w:r>
          </w:p>
        </w:tc>
        <w:tc>
          <w:tcPr>
            <w:tcW w:w="1989" w:type="dxa"/>
          </w:tcPr>
          <w:p w14:paraId="50FFEAFE"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0.273</w:t>
            </w:r>
          </w:p>
        </w:tc>
        <w:tc>
          <w:tcPr>
            <w:tcW w:w="2041" w:type="dxa"/>
          </w:tcPr>
          <w:p w14:paraId="04E6E094"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b/>
                <w:bCs/>
                <w:shd w:val="clear" w:color="FFFFFF" w:fill="auto"/>
              </w:rPr>
              <w:t>0.006</w:t>
            </w:r>
          </w:p>
        </w:tc>
        <w:tc>
          <w:tcPr>
            <w:tcW w:w="1771" w:type="dxa"/>
          </w:tcPr>
          <w:p w14:paraId="28424597"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rPr>
              <w:t>-0.009</w:t>
            </w:r>
          </w:p>
        </w:tc>
        <w:tc>
          <w:tcPr>
            <w:tcW w:w="1771" w:type="dxa"/>
          </w:tcPr>
          <w:p w14:paraId="117471B3"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rPr>
              <w:t>0.927</w:t>
            </w:r>
          </w:p>
        </w:tc>
      </w:tr>
      <w:tr w:rsidR="002E6769" w:rsidRPr="00922A6A" w14:paraId="5C5C2CB0"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2004" w:type="dxa"/>
          </w:tcPr>
          <w:p w14:paraId="4FD51D92" w14:textId="77777777" w:rsidR="002E6769" w:rsidRPr="00922A6A" w:rsidRDefault="002E6769" w:rsidP="00507FDA">
            <w:pPr>
              <w:spacing w:line="360" w:lineRule="auto"/>
              <w:rPr>
                <w:rFonts w:asciiTheme="majorBidi" w:hAnsiTheme="majorBidi" w:cstheme="majorBidi"/>
                <w:b/>
                <w:bCs/>
              </w:rPr>
            </w:pPr>
            <w:r w:rsidRPr="00922A6A">
              <w:rPr>
                <w:rFonts w:asciiTheme="majorBidi" w:eastAsia="Times New Roman" w:hAnsiTheme="majorBidi" w:cstheme="majorBidi"/>
                <w:b/>
                <w:bCs/>
                <w:shd w:val="clear" w:color="FFFFFF" w:fill="auto"/>
              </w:rPr>
              <w:t>SBP</w:t>
            </w:r>
          </w:p>
        </w:tc>
        <w:tc>
          <w:tcPr>
            <w:tcW w:w="1989" w:type="dxa"/>
          </w:tcPr>
          <w:p w14:paraId="3DDC4FB8"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0.804</w:t>
            </w:r>
          </w:p>
        </w:tc>
        <w:tc>
          <w:tcPr>
            <w:tcW w:w="2041" w:type="dxa"/>
          </w:tcPr>
          <w:p w14:paraId="47EB0BFA"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b/>
                <w:bCs/>
                <w:shd w:val="clear" w:color="FFFFFF" w:fill="auto"/>
              </w:rPr>
              <w:t>&lt;0.001</w:t>
            </w:r>
          </w:p>
        </w:tc>
        <w:tc>
          <w:tcPr>
            <w:tcW w:w="1771" w:type="dxa"/>
          </w:tcPr>
          <w:p w14:paraId="1F375043"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rPr>
              <w:t>-0.366</w:t>
            </w:r>
          </w:p>
        </w:tc>
        <w:tc>
          <w:tcPr>
            <w:tcW w:w="1771" w:type="dxa"/>
          </w:tcPr>
          <w:p w14:paraId="280ED709" w14:textId="77777777" w:rsidR="002E6769" w:rsidRPr="00922A6A" w:rsidRDefault="002E6769" w:rsidP="00507FDA">
            <w:pPr>
              <w:spacing w:line="360" w:lineRule="auto"/>
              <w:jc w:val="center"/>
              <w:rPr>
                <w:rFonts w:asciiTheme="majorBidi" w:hAnsiTheme="majorBidi" w:cstheme="majorBidi"/>
                <w:b/>
                <w:bCs/>
              </w:rPr>
            </w:pPr>
            <w:r w:rsidRPr="00922A6A">
              <w:rPr>
                <w:rFonts w:asciiTheme="majorBidi" w:hAnsiTheme="majorBidi" w:cstheme="majorBidi"/>
                <w:b/>
                <w:bCs/>
              </w:rPr>
              <w:t>&lt;0.001</w:t>
            </w:r>
          </w:p>
        </w:tc>
      </w:tr>
      <w:tr w:rsidR="002E6769" w:rsidRPr="00922A6A" w14:paraId="26B2A418" w14:textId="77777777" w:rsidTr="00AB5D22">
        <w:trPr>
          <w:trHeight w:val="1"/>
        </w:trPr>
        <w:tc>
          <w:tcPr>
            <w:tcW w:w="2004" w:type="dxa"/>
          </w:tcPr>
          <w:p w14:paraId="572B5386" w14:textId="77777777" w:rsidR="002E6769" w:rsidRPr="00922A6A" w:rsidRDefault="002E6769" w:rsidP="00507FDA">
            <w:pPr>
              <w:spacing w:line="360" w:lineRule="auto"/>
              <w:rPr>
                <w:rFonts w:asciiTheme="majorBidi" w:hAnsiTheme="majorBidi" w:cstheme="majorBidi"/>
                <w:b/>
                <w:bCs/>
              </w:rPr>
            </w:pPr>
            <w:r w:rsidRPr="00922A6A">
              <w:rPr>
                <w:rFonts w:asciiTheme="majorBidi" w:eastAsia="Times New Roman" w:hAnsiTheme="majorBidi" w:cstheme="majorBidi"/>
                <w:b/>
                <w:bCs/>
                <w:shd w:val="clear" w:color="FFFFFF" w:fill="auto"/>
              </w:rPr>
              <w:t>DBP</w:t>
            </w:r>
          </w:p>
        </w:tc>
        <w:tc>
          <w:tcPr>
            <w:tcW w:w="1989" w:type="dxa"/>
          </w:tcPr>
          <w:p w14:paraId="343011A0"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0.830</w:t>
            </w:r>
          </w:p>
        </w:tc>
        <w:tc>
          <w:tcPr>
            <w:tcW w:w="2041" w:type="dxa"/>
          </w:tcPr>
          <w:p w14:paraId="3320E7B7"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b/>
                <w:bCs/>
                <w:shd w:val="clear" w:color="FFFFFF" w:fill="auto"/>
              </w:rPr>
              <w:t>&lt;0.001</w:t>
            </w:r>
          </w:p>
        </w:tc>
        <w:tc>
          <w:tcPr>
            <w:tcW w:w="1771" w:type="dxa"/>
          </w:tcPr>
          <w:p w14:paraId="106620FD"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rPr>
              <w:t>-0.309</w:t>
            </w:r>
          </w:p>
        </w:tc>
        <w:tc>
          <w:tcPr>
            <w:tcW w:w="1771" w:type="dxa"/>
          </w:tcPr>
          <w:p w14:paraId="390C44A8" w14:textId="77777777" w:rsidR="002E6769" w:rsidRPr="00922A6A" w:rsidRDefault="002E6769" w:rsidP="00507FDA">
            <w:pPr>
              <w:spacing w:line="360" w:lineRule="auto"/>
              <w:jc w:val="center"/>
              <w:rPr>
                <w:rFonts w:asciiTheme="majorBidi" w:hAnsiTheme="majorBidi" w:cstheme="majorBidi"/>
                <w:b/>
                <w:bCs/>
              </w:rPr>
            </w:pPr>
            <w:r w:rsidRPr="00922A6A">
              <w:rPr>
                <w:rFonts w:asciiTheme="majorBidi" w:hAnsiTheme="majorBidi" w:cstheme="majorBidi"/>
                <w:b/>
                <w:bCs/>
              </w:rPr>
              <w:t>0.002</w:t>
            </w:r>
          </w:p>
        </w:tc>
      </w:tr>
      <w:tr w:rsidR="002E6769" w:rsidRPr="00922A6A" w14:paraId="4C534938"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2004" w:type="dxa"/>
          </w:tcPr>
          <w:p w14:paraId="2E4DF600" w14:textId="77777777" w:rsidR="002E6769" w:rsidRPr="00922A6A" w:rsidRDefault="002E6769" w:rsidP="00507FDA">
            <w:pPr>
              <w:spacing w:line="360" w:lineRule="auto"/>
              <w:rPr>
                <w:rFonts w:asciiTheme="majorBidi" w:hAnsiTheme="majorBidi" w:cstheme="majorBidi"/>
                <w:b/>
                <w:bCs/>
              </w:rPr>
            </w:pPr>
            <w:r w:rsidRPr="00922A6A">
              <w:rPr>
                <w:rFonts w:asciiTheme="majorBidi" w:eastAsia="Times New Roman" w:hAnsiTheme="majorBidi" w:cstheme="majorBidi"/>
                <w:b/>
                <w:bCs/>
                <w:shd w:val="clear" w:color="FFFFFF" w:fill="auto"/>
              </w:rPr>
              <w:t>MAP</w:t>
            </w:r>
          </w:p>
        </w:tc>
        <w:tc>
          <w:tcPr>
            <w:tcW w:w="1989" w:type="dxa"/>
          </w:tcPr>
          <w:p w14:paraId="7FE32A33"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0.883</w:t>
            </w:r>
          </w:p>
        </w:tc>
        <w:tc>
          <w:tcPr>
            <w:tcW w:w="2041" w:type="dxa"/>
          </w:tcPr>
          <w:p w14:paraId="48D6DC50"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b/>
                <w:bCs/>
                <w:shd w:val="clear" w:color="FFFFFF" w:fill="auto"/>
              </w:rPr>
              <w:t>&lt;0.001</w:t>
            </w:r>
          </w:p>
        </w:tc>
        <w:tc>
          <w:tcPr>
            <w:tcW w:w="1771" w:type="dxa"/>
          </w:tcPr>
          <w:p w14:paraId="75CED794"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rPr>
              <w:t>-0.356</w:t>
            </w:r>
          </w:p>
        </w:tc>
        <w:tc>
          <w:tcPr>
            <w:tcW w:w="1771" w:type="dxa"/>
          </w:tcPr>
          <w:p w14:paraId="1B3145E6" w14:textId="77777777" w:rsidR="002E6769" w:rsidRPr="00922A6A" w:rsidRDefault="002E6769" w:rsidP="00507FDA">
            <w:pPr>
              <w:spacing w:line="360" w:lineRule="auto"/>
              <w:jc w:val="center"/>
              <w:rPr>
                <w:rFonts w:asciiTheme="majorBidi" w:hAnsiTheme="majorBidi" w:cstheme="majorBidi"/>
                <w:b/>
                <w:bCs/>
              </w:rPr>
            </w:pPr>
            <w:r w:rsidRPr="00922A6A">
              <w:rPr>
                <w:rFonts w:asciiTheme="majorBidi" w:hAnsiTheme="majorBidi" w:cstheme="majorBidi"/>
                <w:b/>
                <w:bCs/>
              </w:rPr>
              <w:t>&lt;0.001</w:t>
            </w:r>
          </w:p>
        </w:tc>
      </w:tr>
      <w:tr w:rsidR="002E6769" w:rsidRPr="00922A6A" w14:paraId="6F296014" w14:textId="77777777" w:rsidTr="00AB5D22">
        <w:trPr>
          <w:trHeight w:val="1"/>
        </w:trPr>
        <w:tc>
          <w:tcPr>
            <w:tcW w:w="2004" w:type="dxa"/>
          </w:tcPr>
          <w:p w14:paraId="322CB9D1" w14:textId="77777777" w:rsidR="002E6769" w:rsidRPr="00922A6A" w:rsidRDefault="002E6769" w:rsidP="00507FDA">
            <w:pPr>
              <w:spacing w:line="360" w:lineRule="auto"/>
              <w:rPr>
                <w:rFonts w:asciiTheme="majorBidi" w:hAnsiTheme="majorBidi" w:cstheme="majorBidi"/>
                <w:b/>
                <w:bCs/>
              </w:rPr>
            </w:pPr>
            <w:r w:rsidRPr="00922A6A">
              <w:rPr>
                <w:rFonts w:asciiTheme="majorBidi" w:eastAsia="Times New Roman" w:hAnsiTheme="majorBidi" w:cstheme="majorBidi"/>
                <w:b/>
                <w:bCs/>
                <w:shd w:val="clear" w:color="FFFFFF" w:fill="auto"/>
              </w:rPr>
              <w:t>HR</w:t>
            </w:r>
          </w:p>
        </w:tc>
        <w:tc>
          <w:tcPr>
            <w:tcW w:w="1989" w:type="dxa"/>
          </w:tcPr>
          <w:p w14:paraId="78E163E9"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-0.927</w:t>
            </w:r>
          </w:p>
        </w:tc>
        <w:tc>
          <w:tcPr>
            <w:tcW w:w="2041" w:type="dxa"/>
          </w:tcPr>
          <w:p w14:paraId="79C2CB71"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b/>
                <w:bCs/>
                <w:shd w:val="clear" w:color="FFFFFF" w:fill="auto"/>
              </w:rPr>
              <w:t>&lt;0.001</w:t>
            </w:r>
          </w:p>
        </w:tc>
        <w:tc>
          <w:tcPr>
            <w:tcW w:w="1771" w:type="dxa"/>
          </w:tcPr>
          <w:p w14:paraId="41039A2C"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rPr>
              <w:t>0.402</w:t>
            </w:r>
          </w:p>
        </w:tc>
        <w:tc>
          <w:tcPr>
            <w:tcW w:w="1771" w:type="dxa"/>
          </w:tcPr>
          <w:p w14:paraId="423E6805" w14:textId="77777777" w:rsidR="002E6769" w:rsidRPr="00922A6A" w:rsidRDefault="002E6769" w:rsidP="00507FDA">
            <w:pPr>
              <w:spacing w:line="360" w:lineRule="auto"/>
              <w:jc w:val="center"/>
              <w:rPr>
                <w:rFonts w:asciiTheme="majorBidi" w:hAnsiTheme="majorBidi" w:cstheme="majorBidi"/>
                <w:b/>
                <w:bCs/>
              </w:rPr>
            </w:pPr>
            <w:r w:rsidRPr="00922A6A">
              <w:rPr>
                <w:rFonts w:asciiTheme="majorBidi" w:hAnsiTheme="majorBidi" w:cstheme="majorBidi"/>
                <w:b/>
                <w:bCs/>
              </w:rPr>
              <w:t>&lt;0.001</w:t>
            </w:r>
          </w:p>
        </w:tc>
      </w:tr>
      <w:tr w:rsidR="002E6769" w:rsidRPr="00922A6A" w14:paraId="306E05A6"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2004" w:type="dxa"/>
          </w:tcPr>
          <w:p w14:paraId="2157DE6C" w14:textId="77777777" w:rsidR="002E6769" w:rsidRPr="00922A6A" w:rsidRDefault="002E6769" w:rsidP="00507FDA">
            <w:pPr>
              <w:spacing w:line="360" w:lineRule="auto"/>
              <w:rPr>
                <w:rFonts w:asciiTheme="majorBidi" w:hAnsiTheme="majorBidi" w:cstheme="majorBidi"/>
                <w:b/>
                <w:bCs/>
              </w:rPr>
            </w:pPr>
            <w:proofErr w:type="spellStart"/>
            <w:r w:rsidRPr="00922A6A">
              <w:rPr>
                <w:rFonts w:asciiTheme="majorBidi" w:eastAsia="Times New Roman" w:hAnsiTheme="majorBidi" w:cstheme="majorBidi"/>
                <w:b/>
                <w:bCs/>
                <w:shd w:val="clear" w:color="FFFFFF" w:fill="auto"/>
              </w:rPr>
              <w:t>dSVC</w:t>
            </w:r>
            <w:proofErr w:type="spellEnd"/>
            <w:r w:rsidRPr="00922A6A">
              <w:rPr>
                <w:rFonts w:asciiTheme="majorBidi" w:eastAsia="Times New Roman" w:hAnsiTheme="majorBidi" w:cstheme="majorBidi"/>
                <w:b/>
                <w:bCs/>
                <w:shd w:val="clear" w:color="FFFFFF" w:fill="auto"/>
              </w:rPr>
              <w:t xml:space="preserve"> max</w:t>
            </w:r>
          </w:p>
        </w:tc>
        <w:tc>
          <w:tcPr>
            <w:tcW w:w="1989" w:type="dxa"/>
          </w:tcPr>
          <w:p w14:paraId="42FC9227"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0.891</w:t>
            </w:r>
          </w:p>
        </w:tc>
        <w:tc>
          <w:tcPr>
            <w:tcW w:w="2041" w:type="dxa"/>
          </w:tcPr>
          <w:p w14:paraId="6E7FAF7E"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b/>
                <w:bCs/>
                <w:shd w:val="clear" w:color="FFFFFF" w:fill="auto"/>
              </w:rPr>
              <w:t>&lt;0.001</w:t>
            </w:r>
          </w:p>
        </w:tc>
        <w:tc>
          <w:tcPr>
            <w:tcW w:w="1771" w:type="dxa"/>
          </w:tcPr>
          <w:p w14:paraId="337C5FFF"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rPr>
              <w:t>-0.377</w:t>
            </w:r>
          </w:p>
        </w:tc>
        <w:tc>
          <w:tcPr>
            <w:tcW w:w="1771" w:type="dxa"/>
          </w:tcPr>
          <w:p w14:paraId="457B90C7" w14:textId="77777777" w:rsidR="002E6769" w:rsidRPr="00922A6A" w:rsidRDefault="002E6769" w:rsidP="00507FDA">
            <w:pPr>
              <w:spacing w:line="360" w:lineRule="auto"/>
              <w:jc w:val="center"/>
              <w:rPr>
                <w:rFonts w:asciiTheme="majorBidi" w:hAnsiTheme="majorBidi" w:cstheme="majorBidi"/>
                <w:b/>
                <w:bCs/>
              </w:rPr>
            </w:pPr>
            <w:r w:rsidRPr="00922A6A">
              <w:rPr>
                <w:rFonts w:asciiTheme="majorBidi" w:hAnsiTheme="majorBidi" w:cstheme="majorBidi"/>
                <w:b/>
                <w:bCs/>
              </w:rPr>
              <w:t>&lt;0.001</w:t>
            </w:r>
          </w:p>
        </w:tc>
      </w:tr>
      <w:tr w:rsidR="002E6769" w:rsidRPr="00922A6A" w14:paraId="68619B41" w14:textId="77777777" w:rsidTr="00AB5D22">
        <w:trPr>
          <w:trHeight w:val="1"/>
        </w:trPr>
        <w:tc>
          <w:tcPr>
            <w:tcW w:w="2004" w:type="dxa"/>
          </w:tcPr>
          <w:p w14:paraId="07DB859A" w14:textId="77777777" w:rsidR="002E6769" w:rsidRPr="00922A6A" w:rsidRDefault="002E6769" w:rsidP="00507FDA">
            <w:pPr>
              <w:spacing w:line="360" w:lineRule="auto"/>
              <w:rPr>
                <w:rFonts w:asciiTheme="majorBidi" w:hAnsiTheme="majorBidi" w:cstheme="majorBidi"/>
                <w:b/>
                <w:bCs/>
              </w:rPr>
            </w:pPr>
            <w:proofErr w:type="spellStart"/>
            <w:r w:rsidRPr="00922A6A">
              <w:rPr>
                <w:rFonts w:asciiTheme="majorBidi" w:eastAsia="Times New Roman" w:hAnsiTheme="majorBidi" w:cstheme="majorBidi"/>
                <w:b/>
                <w:bCs/>
                <w:shd w:val="clear" w:color="FFFFFF" w:fill="auto"/>
              </w:rPr>
              <w:t>dSVC</w:t>
            </w:r>
            <w:proofErr w:type="spellEnd"/>
            <w:r w:rsidRPr="00922A6A">
              <w:rPr>
                <w:rFonts w:asciiTheme="majorBidi" w:eastAsia="Times New Roman" w:hAnsiTheme="majorBidi" w:cstheme="majorBidi"/>
                <w:b/>
                <w:bCs/>
                <w:shd w:val="clear" w:color="FFFFFF" w:fill="auto"/>
              </w:rPr>
              <w:t xml:space="preserve"> min</w:t>
            </w:r>
          </w:p>
        </w:tc>
        <w:tc>
          <w:tcPr>
            <w:tcW w:w="1989" w:type="dxa"/>
          </w:tcPr>
          <w:p w14:paraId="0BA125B0"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0.848</w:t>
            </w:r>
          </w:p>
        </w:tc>
        <w:tc>
          <w:tcPr>
            <w:tcW w:w="2041" w:type="dxa"/>
          </w:tcPr>
          <w:p w14:paraId="402F8204"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b/>
                <w:bCs/>
                <w:shd w:val="clear" w:color="FFFFFF" w:fill="auto"/>
              </w:rPr>
              <w:t>&lt;0.001</w:t>
            </w:r>
          </w:p>
        </w:tc>
        <w:tc>
          <w:tcPr>
            <w:tcW w:w="1771" w:type="dxa"/>
          </w:tcPr>
          <w:p w14:paraId="799BAC51"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rPr>
              <w:t>-0.640</w:t>
            </w:r>
          </w:p>
        </w:tc>
        <w:tc>
          <w:tcPr>
            <w:tcW w:w="1771" w:type="dxa"/>
          </w:tcPr>
          <w:p w14:paraId="642E8999" w14:textId="77777777" w:rsidR="002E6769" w:rsidRPr="00922A6A" w:rsidRDefault="002E6769" w:rsidP="00507FDA">
            <w:pPr>
              <w:spacing w:line="360" w:lineRule="auto"/>
              <w:jc w:val="center"/>
              <w:rPr>
                <w:rFonts w:asciiTheme="majorBidi" w:hAnsiTheme="majorBidi" w:cstheme="majorBidi"/>
                <w:b/>
                <w:bCs/>
              </w:rPr>
            </w:pPr>
            <w:r w:rsidRPr="00922A6A">
              <w:rPr>
                <w:rFonts w:asciiTheme="majorBidi" w:hAnsiTheme="majorBidi" w:cstheme="majorBidi"/>
                <w:b/>
                <w:bCs/>
              </w:rPr>
              <w:t>&lt;0.001</w:t>
            </w:r>
          </w:p>
        </w:tc>
      </w:tr>
      <w:tr w:rsidR="002E6769" w:rsidRPr="00922A6A" w14:paraId="3229D107"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2004" w:type="dxa"/>
          </w:tcPr>
          <w:p w14:paraId="038E034E" w14:textId="77777777" w:rsidR="002E6769" w:rsidRPr="00922A6A" w:rsidRDefault="002E6769" w:rsidP="00507FDA">
            <w:pPr>
              <w:spacing w:line="360" w:lineRule="auto"/>
              <w:rPr>
                <w:rFonts w:asciiTheme="majorBidi" w:hAnsiTheme="majorBidi" w:cstheme="majorBidi"/>
                <w:b/>
                <w:bCs/>
              </w:rPr>
            </w:pPr>
            <w:r w:rsidRPr="00922A6A">
              <w:rPr>
                <w:rFonts w:asciiTheme="majorBidi" w:eastAsia="Times New Roman" w:hAnsiTheme="majorBidi" w:cstheme="majorBidi"/>
                <w:b/>
                <w:bCs/>
                <w:shd w:val="clear" w:color="FFFFFF" w:fill="auto"/>
              </w:rPr>
              <w:t>SVC-CI%</w:t>
            </w:r>
          </w:p>
        </w:tc>
        <w:tc>
          <w:tcPr>
            <w:tcW w:w="1989" w:type="dxa"/>
          </w:tcPr>
          <w:p w14:paraId="7A217005"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-0.431</w:t>
            </w:r>
          </w:p>
        </w:tc>
        <w:tc>
          <w:tcPr>
            <w:tcW w:w="2041" w:type="dxa"/>
          </w:tcPr>
          <w:p w14:paraId="6FD361DB" w14:textId="77777777" w:rsidR="002E6769" w:rsidRPr="00922A6A" w:rsidRDefault="002E6769" w:rsidP="00507FDA">
            <w:pPr>
              <w:spacing w:line="360" w:lineRule="auto"/>
              <w:jc w:val="center"/>
              <w:rPr>
                <w:rFonts w:asciiTheme="majorBidi" w:hAnsiTheme="majorBidi" w:cstheme="majorBidi"/>
              </w:rPr>
            </w:pPr>
            <w:r w:rsidRPr="00922A6A">
              <w:rPr>
                <w:rFonts w:asciiTheme="majorBidi" w:hAnsiTheme="majorBidi" w:cstheme="majorBidi"/>
                <w:b/>
                <w:bCs/>
                <w:shd w:val="clear" w:color="FFFFFF" w:fill="auto"/>
              </w:rPr>
              <w:t>&lt;0.001</w:t>
            </w:r>
          </w:p>
        </w:tc>
        <w:tc>
          <w:tcPr>
            <w:tcW w:w="1771" w:type="dxa"/>
          </w:tcPr>
          <w:p w14:paraId="1B5DFA15" w14:textId="77777777" w:rsidR="002E6769" w:rsidRPr="00922A6A" w:rsidRDefault="00460CC2" w:rsidP="00507FDA">
            <w:pPr>
              <w:spacing w:line="360" w:lineRule="auto"/>
              <w:jc w:val="center"/>
              <w:rPr>
                <w:rFonts w:asciiTheme="majorBidi" w:hAnsiTheme="majorBidi" w:cstheme="majorBidi"/>
                <w:b/>
                <w:bCs/>
                <w:shd w:val="clear" w:color="FFFFFF" w:fill="auto"/>
              </w:rPr>
            </w:pPr>
            <w:r w:rsidRPr="00922A6A">
              <w:rPr>
                <w:rFonts w:asciiTheme="majorBidi" w:hAnsiTheme="majorBidi" w:cstheme="majorBidi"/>
                <w:b/>
                <w:bCs/>
                <w:shd w:val="clear" w:color="FFFFFF" w:fill="auto"/>
              </w:rPr>
              <w:t>-</w:t>
            </w:r>
          </w:p>
        </w:tc>
        <w:tc>
          <w:tcPr>
            <w:tcW w:w="1771" w:type="dxa"/>
          </w:tcPr>
          <w:p w14:paraId="7F4FC447" w14:textId="77777777" w:rsidR="002E6769" w:rsidRPr="00922A6A" w:rsidRDefault="00460CC2" w:rsidP="00507FDA">
            <w:pPr>
              <w:spacing w:line="360" w:lineRule="auto"/>
              <w:jc w:val="center"/>
              <w:rPr>
                <w:rFonts w:asciiTheme="majorBidi" w:hAnsiTheme="majorBidi" w:cstheme="majorBidi"/>
                <w:b/>
                <w:bCs/>
                <w:shd w:val="clear" w:color="FFFFFF" w:fill="auto"/>
              </w:rPr>
            </w:pPr>
            <w:r w:rsidRPr="00922A6A">
              <w:rPr>
                <w:rFonts w:asciiTheme="majorBidi" w:hAnsiTheme="majorBidi" w:cstheme="majorBidi"/>
                <w:b/>
                <w:bCs/>
                <w:shd w:val="clear" w:color="FFFFFF" w:fill="auto"/>
              </w:rPr>
              <w:t>-</w:t>
            </w:r>
          </w:p>
        </w:tc>
      </w:tr>
    </w:tbl>
    <w:p w14:paraId="0944CF7D" w14:textId="77777777" w:rsidR="00B51B47" w:rsidRPr="006A47B7" w:rsidRDefault="005039D9" w:rsidP="00507FDA">
      <w:pPr>
        <w:spacing w:line="360" w:lineRule="auto"/>
        <w:rPr>
          <w:rFonts w:asciiTheme="majorBidi" w:hAnsiTheme="majorBidi" w:cstheme="majorBidi"/>
          <w:sz w:val="24"/>
          <w:szCs w:val="24"/>
        </w:rPr>
      </w:pPr>
      <w:r w:rsidRPr="006A47B7">
        <w:rPr>
          <w:rFonts w:asciiTheme="majorBidi" w:eastAsia="Times New Roman" w:hAnsiTheme="majorBidi" w:cstheme="majorBidi"/>
          <w:b/>
          <w:bCs/>
          <w:color w:val="000000"/>
          <w:sz w:val="24"/>
          <w:szCs w:val="24"/>
          <w:shd w:val="clear" w:color="FFFFFF" w:fill="auto"/>
        </w:rPr>
        <w:t>Table (</w:t>
      </w:r>
      <w:r w:rsidR="00D610C3" w:rsidRPr="006A47B7">
        <w:rPr>
          <w:rFonts w:asciiTheme="majorBidi" w:eastAsia="Times New Roman" w:hAnsiTheme="majorBidi" w:cstheme="majorBidi"/>
          <w:b/>
          <w:bCs/>
          <w:color w:val="000000"/>
          <w:sz w:val="24"/>
          <w:szCs w:val="24"/>
          <w:shd w:val="clear" w:color="FFFFFF" w:fill="auto"/>
        </w:rPr>
        <w:t>4</w:t>
      </w:r>
      <w:r w:rsidRPr="006A47B7">
        <w:rPr>
          <w:rFonts w:asciiTheme="majorBidi" w:eastAsia="Times New Roman" w:hAnsiTheme="majorBidi" w:cstheme="majorBidi"/>
          <w:b/>
          <w:bCs/>
          <w:color w:val="000000"/>
          <w:sz w:val="24"/>
          <w:szCs w:val="24"/>
          <w:shd w:val="clear" w:color="FFFFFF" w:fill="auto"/>
        </w:rPr>
        <w:t xml:space="preserve">). Validity of SVC-CI for prediction of CVP </w:t>
      </w:r>
      <w:r w:rsidRPr="006A47B7">
        <w:rPr>
          <w:rFonts w:asciiTheme="majorBidi" w:eastAsia="Cambria Math" w:hAnsiTheme="majorBidi" w:cstheme="majorBidi"/>
          <w:b/>
          <w:bCs/>
          <w:color w:val="000000"/>
          <w:sz w:val="24"/>
          <w:szCs w:val="24"/>
          <w:shd w:val="clear" w:color="FFFFFF" w:fill="auto"/>
        </w:rPr>
        <w:t>≥</w:t>
      </w:r>
      <w:r w:rsidRPr="006A47B7">
        <w:rPr>
          <w:rFonts w:asciiTheme="majorBidi" w:eastAsia="Times New Roman" w:hAnsiTheme="majorBidi" w:cstheme="majorBidi"/>
          <w:b/>
          <w:bCs/>
          <w:color w:val="000000"/>
          <w:sz w:val="24"/>
          <w:szCs w:val="24"/>
          <w:shd w:val="clear" w:color="FFFFFF" w:fill="auto"/>
        </w:rPr>
        <w:t>10.</w:t>
      </w:r>
    </w:p>
    <w:tbl>
      <w:tblPr>
        <w:tblStyle w:val="GridTable1Light-Accent115"/>
        <w:tblW w:w="5000" w:type="pct"/>
        <w:tblLook w:val="0400" w:firstRow="0" w:lastRow="0" w:firstColumn="0" w:lastColumn="0" w:noHBand="0" w:noVBand="1"/>
      </w:tblPr>
      <w:tblGrid>
        <w:gridCol w:w="3212"/>
        <w:gridCol w:w="3189"/>
        <w:gridCol w:w="3175"/>
      </w:tblGrid>
      <w:tr w:rsidR="00B51B47" w:rsidRPr="00922A6A" w14:paraId="57259084" w14:textId="77777777" w:rsidTr="00AB5D22">
        <w:trPr>
          <w:trHeight w:val="1"/>
        </w:trPr>
        <w:tc>
          <w:tcPr>
            <w:tcW w:w="1677" w:type="pct"/>
          </w:tcPr>
          <w:p w14:paraId="2FD8AF00" w14:textId="77777777" w:rsidR="00B51B47" w:rsidRPr="00922A6A" w:rsidRDefault="005039D9" w:rsidP="00507FDA">
            <w:pPr>
              <w:spacing w:line="360" w:lineRule="auto"/>
              <w:rPr>
                <w:rFonts w:asciiTheme="majorBidi" w:hAnsiTheme="majorBidi" w:cstheme="majorBidi"/>
                <w:b/>
                <w:bCs/>
              </w:rPr>
            </w:pPr>
            <w:r w:rsidRPr="00922A6A">
              <w:rPr>
                <w:rFonts w:asciiTheme="majorBidi" w:eastAsia="Times New Roman" w:hAnsiTheme="majorBidi" w:cstheme="majorBidi"/>
                <w:b/>
                <w:bCs/>
                <w:color w:val="000000"/>
                <w:shd w:val="clear" w:color="FFFFFF" w:fill="auto"/>
              </w:rPr>
              <w:t>SVC-CI</w:t>
            </w:r>
          </w:p>
        </w:tc>
        <w:tc>
          <w:tcPr>
            <w:tcW w:w="1665" w:type="pct"/>
          </w:tcPr>
          <w:p w14:paraId="26BE5C82" w14:textId="77777777" w:rsidR="00B51B47" w:rsidRPr="00922A6A" w:rsidRDefault="005039D9" w:rsidP="00507FDA">
            <w:pPr>
              <w:spacing w:line="360" w:lineRule="auto"/>
              <w:jc w:val="center"/>
              <w:rPr>
                <w:rFonts w:asciiTheme="majorBidi" w:hAnsiTheme="majorBidi" w:cstheme="majorBidi"/>
                <w:b/>
                <w:bCs/>
              </w:rPr>
            </w:pPr>
            <w:r w:rsidRPr="00922A6A">
              <w:rPr>
                <w:rFonts w:asciiTheme="majorBidi" w:hAnsiTheme="majorBidi" w:cstheme="majorBidi"/>
                <w:b/>
                <w:bCs/>
                <w:shd w:val="clear" w:color="FFFFFF" w:fill="auto"/>
              </w:rPr>
              <w:t>Sensitivity</w:t>
            </w:r>
          </w:p>
        </w:tc>
        <w:tc>
          <w:tcPr>
            <w:tcW w:w="1658" w:type="pct"/>
          </w:tcPr>
          <w:p w14:paraId="6FEFA1F8" w14:textId="77777777" w:rsidR="00B51B47" w:rsidRPr="00922A6A" w:rsidRDefault="005039D9" w:rsidP="00507FDA">
            <w:pPr>
              <w:spacing w:line="360" w:lineRule="auto"/>
              <w:jc w:val="center"/>
              <w:rPr>
                <w:rFonts w:asciiTheme="majorBidi" w:hAnsiTheme="majorBidi" w:cstheme="majorBidi"/>
                <w:b/>
                <w:bCs/>
              </w:rPr>
            </w:pPr>
            <w:r w:rsidRPr="00922A6A">
              <w:rPr>
                <w:rFonts w:asciiTheme="majorBidi" w:hAnsiTheme="majorBidi" w:cstheme="majorBidi"/>
                <w:b/>
                <w:bCs/>
                <w:shd w:val="clear" w:color="FFFFFF" w:fill="auto"/>
              </w:rPr>
              <w:t>Specificity</w:t>
            </w:r>
          </w:p>
        </w:tc>
      </w:tr>
      <w:tr w:rsidR="00B51B47" w:rsidRPr="00922A6A" w14:paraId="402E07C6" w14:textId="77777777" w:rsidTr="00AB5D22">
        <w:trPr>
          <w:trHeight w:val="1"/>
        </w:trPr>
        <w:tc>
          <w:tcPr>
            <w:tcW w:w="1677" w:type="pct"/>
          </w:tcPr>
          <w:p w14:paraId="572607AC"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27.8%</w:t>
            </w:r>
          </w:p>
        </w:tc>
        <w:tc>
          <w:tcPr>
            <w:tcW w:w="1665" w:type="pct"/>
          </w:tcPr>
          <w:p w14:paraId="690124A7"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50.0</w:t>
            </w:r>
          </w:p>
        </w:tc>
        <w:tc>
          <w:tcPr>
            <w:tcW w:w="1658" w:type="pct"/>
          </w:tcPr>
          <w:p w14:paraId="6BE80C55"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54.2</w:t>
            </w:r>
          </w:p>
        </w:tc>
      </w:tr>
      <w:tr w:rsidR="00B51B47" w:rsidRPr="00922A6A" w14:paraId="3C0BE59B" w14:textId="77777777" w:rsidTr="00AB5D22">
        <w:trPr>
          <w:trHeight w:val="1"/>
        </w:trPr>
        <w:tc>
          <w:tcPr>
            <w:tcW w:w="1677" w:type="pct"/>
          </w:tcPr>
          <w:p w14:paraId="40ED0A2D"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28.8%</w:t>
            </w:r>
          </w:p>
        </w:tc>
        <w:tc>
          <w:tcPr>
            <w:tcW w:w="1665" w:type="pct"/>
          </w:tcPr>
          <w:p w14:paraId="60AC329E"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44.7</w:t>
            </w:r>
          </w:p>
        </w:tc>
        <w:tc>
          <w:tcPr>
            <w:tcW w:w="1658" w:type="pct"/>
          </w:tcPr>
          <w:p w14:paraId="491EC22C"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54.2</w:t>
            </w:r>
          </w:p>
        </w:tc>
      </w:tr>
      <w:tr w:rsidR="00B51B47" w:rsidRPr="00922A6A" w14:paraId="77ABE754" w14:textId="77777777" w:rsidTr="00AB5D22">
        <w:trPr>
          <w:trHeight w:val="1"/>
        </w:trPr>
        <w:tc>
          <w:tcPr>
            <w:tcW w:w="1677" w:type="pct"/>
          </w:tcPr>
          <w:p w14:paraId="2F743A0F"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29.5%</w:t>
            </w:r>
          </w:p>
        </w:tc>
        <w:tc>
          <w:tcPr>
            <w:tcW w:w="1665" w:type="pct"/>
          </w:tcPr>
          <w:p w14:paraId="18E4279F"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43.4</w:t>
            </w:r>
          </w:p>
        </w:tc>
        <w:tc>
          <w:tcPr>
            <w:tcW w:w="1658" w:type="pct"/>
          </w:tcPr>
          <w:p w14:paraId="03D0ADE5"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54.2</w:t>
            </w:r>
          </w:p>
        </w:tc>
      </w:tr>
      <w:tr w:rsidR="00B51B47" w:rsidRPr="00922A6A" w14:paraId="520704F2" w14:textId="77777777" w:rsidTr="00AB5D22">
        <w:trPr>
          <w:trHeight w:val="1"/>
        </w:trPr>
        <w:tc>
          <w:tcPr>
            <w:tcW w:w="1677" w:type="pct"/>
          </w:tcPr>
          <w:p w14:paraId="18D68A1D"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30.4%</w:t>
            </w:r>
          </w:p>
        </w:tc>
        <w:tc>
          <w:tcPr>
            <w:tcW w:w="1665" w:type="pct"/>
          </w:tcPr>
          <w:p w14:paraId="797D331A"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38.2</w:t>
            </w:r>
          </w:p>
        </w:tc>
        <w:tc>
          <w:tcPr>
            <w:tcW w:w="1658" w:type="pct"/>
          </w:tcPr>
          <w:p w14:paraId="531E71F7"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58.3</w:t>
            </w:r>
          </w:p>
        </w:tc>
      </w:tr>
      <w:tr w:rsidR="00B51B47" w:rsidRPr="00922A6A" w14:paraId="48C58FA6" w14:textId="77777777" w:rsidTr="00AB5D22">
        <w:trPr>
          <w:trHeight w:val="1"/>
        </w:trPr>
        <w:tc>
          <w:tcPr>
            <w:tcW w:w="1677" w:type="pct"/>
          </w:tcPr>
          <w:p w14:paraId="7255872F"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30.9%</w:t>
            </w:r>
          </w:p>
        </w:tc>
        <w:tc>
          <w:tcPr>
            <w:tcW w:w="1665" w:type="pct"/>
          </w:tcPr>
          <w:p w14:paraId="56301D05"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38.2</w:t>
            </w:r>
          </w:p>
        </w:tc>
        <w:tc>
          <w:tcPr>
            <w:tcW w:w="1658" w:type="pct"/>
          </w:tcPr>
          <w:p w14:paraId="0ED627E7"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66.7</w:t>
            </w:r>
          </w:p>
        </w:tc>
      </w:tr>
      <w:tr w:rsidR="00B51B47" w:rsidRPr="00922A6A" w14:paraId="5D33B5FC" w14:textId="77777777" w:rsidTr="00AB5D22">
        <w:trPr>
          <w:trHeight w:val="1"/>
        </w:trPr>
        <w:tc>
          <w:tcPr>
            <w:tcW w:w="1677" w:type="pct"/>
          </w:tcPr>
          <w:p w14:paraId="5E24BF20"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31.3%</w:t>
            </w:r>
          </w:p>
        </w:tc>
        <w:tc>
          <w:tcPr>
            <w:tcW w:w="1665" w:type="pct"/>
          </w:tcPr>
          <w:p w14:paraId="42C51713"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36.8</w:t>
            </w:r>
          </w:p>
        </w:tc>
        <w:tc>
          <w:tcPr>
            <w:tcW w:w="1658" w:type="pct"/>
          </w:tcPr>
          <w:p w14:paraId="1E1315B0"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66.7</w:t>
            </w:r>
          </w:p>
        </w:tc>
      </w:tr>
      <w:tr w:rsidR="00B51B47" w:rsidRPr="00922A6A" w14:paraId="4292E9FC" w14:textId="77777777" w:rsidTr="00AB5D22">
        <w:trPr>
          <w:trHeight w:val="1"/>
        </w:trPr>
        <w:tc>
          <w:tcPr>
            <w:tcW w:w="1677" w:type="pct"/>
          </w:tcPr>
          <w:p w14:paraId="23D97577"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32.3%</w:t>
            </w:r>
          </w:p>
        </w:tc>
        <w:tc>
          <w:tcPr>
            <w:tcW w:w="1665" w:type="pct"/>
          </w:tcPr>
          <w:p w14:paraId="687C25CD"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36.8</w:t>
            </w:r>
          </w:p>
        </w:tc>
        <w:tc>
          <w:tcPr>
            <w:tcW w:w="1658" w:type="pct"/>
          </w:tcPr>
          <w:p w14:paraId="7DC325ED"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70.8</w:t>
            </w:r>
          </w:p>
        </w:tc>
      </w:tr>
      <w:tr w:rsidR="00B51B47" w:rsidRPr="00922A6A" w14:paraId="3A4184D8" w14:textId="77777777" w:rsidTr="007F2F5B">
        <w:trPr>
          <w:trHeight w:val="1"/>
        </w:trPr>
        <w:tc>
          <w:tcPr>
            <w:tcW w:w="1677" w:type="pct"/>
            <w:shd w:val="clear" w:color="auto" w:fill="auto"/>
          </w:tcPr>
          <w:p w14:paraId="1927502D"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34.0%</w:t>
            </w:r>
          </w:p>
        </w:tc>
        <w:tc>
          <w:tcPr>
            <w:tcW w:w="1665" w:type="pct"/>
            <w:shd w:val="clear" w:color="auto" w:fill="auto"/>
          </w:tcPr>
          <w:p w14:paraId="143B89D8"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30.3</w:t>
            </w:r>
          </w:p>
        </w:tc>
        <w:tc>
          <w:tcPr>
            <w:tcW w:w="1658" w:type="pct"/>
            <w:shd w:val="clear" w:color="auto" w:fill="auto"/>
          </w:tcPr>
          <w:p w14:paraId="4B23DF7C"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83.3</w:t>
            </w:r>
          </w:p>
        </w:tc>
      </w:tr>
      <w:tr w:rsidR="00B51B47" w:rsidRPr="00922A6A" w14:paraId="076F3620" w14:textId="77777777" w:rsidTr="007F2F5B">
        <w:trPr>
          <w:trHeight w:val="1"/>
        </w:trPr>
        <w:tc>
          <w:tcPr>
            <w:tcW w:w="1677" w:type="pct"/>
            <w:shd w:val="clear" w:color="auto" w:fill="auto"/>
          </w:tcPr>
          <w:p w14:paraId="7E92226A"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35.5%</w:t>
            </w:r>
          </w:p>
        </w:tc>
        <w:tc>
          <w:tcPr>
            <w:tcW w:w="1665" w:type="pct"/>
            <w:shd w:val="clear" w:color="auto" w:fill="auto"/>
          </w:tcPr>
          <w:p w14:paraId="473F3571"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28.9</w:t>
            </w:r>
          </w:p>
        </w:tc>
        <w:tc>
          <w:tcPr>
            <w:tcW w:w="1658" w:type="pct"/>
            <w:shd w:val="clear" w:color="auto" w:fill="auto"/>
          </w:tcPr>
          <w:p w14:paraId="5EF2107B"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83.3</w:t>
            </w:r>
          </w:p>
        </w:tc>
      </w:tr>
      <w:tr w:rsidR="00B51B47" w:rsidRPr="00922A6A" w14:paraId="02D18CDB" w14:textId="77777777" w:rsidTr="007F2F5B">
        <w:trPr>
          <w:trHeight w:val="1"/>
        </w:trPr>
        <w:tc>
          <w:tcPr>
            <w:tcW w:w="1677" w:type="pct"/>
            <w:shd w:val="clear" w:color="auto" w:fill="auto"/>
          </w:tcPr>
          <w:p w14:paraId="507C0B44"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36.8%</w:t>
            </w:r>
          </w:p>
        </w:tc>
        <w:tc>
          <w:tcPr>
            <w:tcW w:w="1665" w:type="pct"/>
            <w:shd w:val="clear" w:color="auto" w:fill="auto"/>
          </w:tcPr>
          <w:p w14:paraId="41C91EE6"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27.6</w:t>
            </w:r>
          </w:p>
        </w:tc>
        <w:tc>
          <w:tcPr>
            <w:tcW w:w="1658" w:type="pct"/>
            <w:shd w:val="clear" w:color="auto" w:fill="auto"/>
          </w:tcPr>
          <w:p w14:paraId="5BB3264F"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87.5</w:t>
            </w:r>
          </w:p>
        </w:tc>
      </w:tr>
      <w:tr w:rsidR="00B51B47" w:rsidRPr="00922A6A" w14:paraId="32F94B23" w14:textId="77777777" w:rsidTr="007F2F5B">
        <w:trPr>
          <w:trHeight w:val="1"/>
        </w:trPr>
        <w:tc>
          <w:tcPr>
            <w:tcW w:w="1677" w:type="pct"/>
            <w:shd w:val="clear" w:color="auto" w:fill="auto"/>
          </w:tcPr>
          <w:p w14:paraId="3C154D1B"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37.8%</w:t>
            </w:r>
          </w:p>
        </w:tc>
        <w:tc>
          <w:tcPr>
            <w:tcW w:w="1665" w:type="pct"/>
            <w:shd w:val="clear" w:color="auto" w:fill="auto"/>
          </w:tcPr>
          <w:p w14:paraId="183BCA59"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26.3</w:t>
            </w:r>
          </w:p>
        </w:tc>
        <w:tc>
          <w:tcPr>
            <w:tcW w:w="1658" w:type="pct"/>
            <w:shd w:val="clear" w:color="auto" w:fill="auto"/>
          </w:tcPr>
          <w:p w14:paraId="48CE7207"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87.5</w:t>
            </w:r>
          </w:p>
        </w:tc>
      </w:tr>
      <w:tr w:rsidR="00B51B47" w:rsidRPr="00922A6A" w14:paraId="2A7B78E1" w14:textId="77777777" w:rsidTr="007F2F5B">
        <w:trPr>
          <w:trHeight w:val="1"/>
        </w:trPr>
        <w:tc>
          <w:tcPr>
            <w:tcW w:w="1677" w:type="pct"/>
            <w:shd w:val="clear" w:color="auto" w:fill="auto"/>
          </w:tcPr>
          <w:p w14:paraId="20C45A54"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39.0%</w:t>
            </w:r>
          </w:p>
        </w:tc>
        <w:tc>
          <w:tcPr>
            <w:tcW w:w="1665" w:type="pct"/>
            <w:shd w:val="clear" w:color="auto" w:fill="auto"/>
          </w:tcPr>
          <w:p w14:paraId="27CA0F79"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25.0</w:t>
            </w:r>
          </w:p>
        </w:tc>
        <w:tc>
          <w:tcPr>
            <w:tcW w:w="1658" w:type="pct"/>
            <w:shd w:val="clear" w:color="auto" w:fill="auto"/>
          </w:tcPr>
          <w:p w14:paraId="0DC06F53"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87.5</w:t>
            </w:r>
          </w:p>
        </w:tc>
      </w:tr>
      <w:tr w:rsidR="00B51B47" w:rsidRPr="00922A6A" w14:paraId="7F542C35" w14:textId="77777777" w:rsidTr="00AB5D22">
        <w:trPr>
          <w:trHeight w:val="1"/>
        </w:trPr>
        <w:tc>
          <w:tcPr>
            <w:tcW w:w="1677" w:type="pct"/>
          </w:tcPr>
          <w:p w14:paraId="5DD90C47"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40.5%</w:t>
            </w:r>
          </w:p>
        </w:tc>
        <w:tc>
          <w:tcPr>
            <w:tcW w:w="1665" w:type="pct"/>
          </w:tcPr>
          <w:p w14:paraId="6AB8F700"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21.1</w:t>
            </w:r>
          </w:p>
        </w:tc>
        <w:tc>
          <w:tcPr>
            <w:tcW w:w="1658" w:type="pct"/>
          </w:tcPr>
          <w:p w14:paraId="54E8BAD4"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91.7</w:t>
            </w:r>
          </w:p>
        </w:tc>
      </w:tr>
      <w:tr w:rsidR="00B51B47" w:rsidRPr="00922A6A" w14:paraId="69A425C3" w14:textId="77777777" w:rsidTr="00AB5D22">
        <w:trPr>
          <w:trHeight w:val="1"/>
        </w:trPr>
        <w:tc>
          <w:tcPr>
            <w:tcW w:w="1677" w:type="pct"/>
          </w:tcPr>
          <w:p w14:paraId="5B30DB3F"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41.9%</w:t>
            </w:r>
          </w:p>
        </w:tc>
        <w:tc>
          <w:tcPr>
            <w:tcW w:w="1665" w:type="pct"/>
          </w:tcPr>
          <w:p w14:paraId="7C57F299"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19.7</w:t>
            </w:r>
          </w:p>
        </w:tc>
        <w:tc>
          <w:tcPr>
            <w:tcW w:w="1658" w:type="pct"/>
          </w:tcPr>
          <w:p w14:paraId="5502DB4E"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91.7</w:t>
            </w:r>
          </w:p>
        </w:tc>
      </w:tr>
      <w:tr w:rsidR="00B51B47" w:rsidRPr="00922A6A" w14:paraId="331B4D6E" w14:textId="77777777" w:rsidTr="00AB5D22">
        <w:tc>
          <w:tcPr>
            <w:tcW w:w="1677" w:type="pct"/>
          </w:tcPr>
          <w:p w14:paraId="59498F4B"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42.9%</w:t>
            </w:r>
          </w:p>
        </w:tc>
        <w:tc>
          <w:tcPr>
            <w:tcW w:w="1665" w:type="pct"/>
          </w:tcPr>
          <w:p w14:paraId="760B07D6"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18.4</w:t>
            </w:r>
          </w:p>
        </w:tc>
        <w:tc>
          <w:tcPr>
            <w:tcW w:w="1658" w:type="pct"/>
          </w:tcPr>
          <w:p w14:paraId="2038838C"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91.7</w:t>
            </w:r>
          </w:p>
        </w:tc>
      </w:tr>
      <w:tr w:rsidR="00B51B47" w:rsidRPr="00922A6A" w14:paraId="04185FC4" w14:textId="77777777" w:rsidTr="00AB5D22">
        <w:trPr>
          <w:trHeight w:val="1"/>
        </w:trPr>
        <w:tc>
          <w:tcPr>
            <w:tcW w:w="1677" w:type="pct"/>
          </w:tcPr>
          <w:p w14:paraId="397637F3"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44.0%</w:t>
            </w:r>
          </w:p>
        </w:tc>
        <w:tc>
          <w:tcPr>
            <w:tcW w:w="1665" w:type="pct"/>
          </w:tcPr>
          <w:p w14:paraId="074D2798"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18.4</w:t>
            </w:r>
          </w:p>
        </w:tc>
        <w:tc>
          <w:tcPr>
            <w:tcW w:w="1658" w:type="pct"/>
          </w:tcPr>
          <w:p w14:paraId="35F49C2E"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95.8</w:t>
            </w:r>
          </w:p>
        </w:tc>
      </w:tr>
      <w:tr w:rsidR="00B51B47" w:rsidRPr="00922A6A" w14:paraId="60C8E1AD" w14:textId="77777777" w:rsidTr="00AB5D22">
        <w:trPr>
          <w:trHeight w:val="1"/>
        </w:trPr>
        <w:tc>
          <w:tcPr>
            <w:tcW w:w="1677" w:type="pct"/>
          </w:tcPr>
          <w:p w14:paraId="361E8785" w14:textId="77777777" w:rsidR="00B51B47" w:rsidRPr="00922A6A" w:rsidRDefault="005039D9" w:rsidP="00507FDA">
            <w:pPr>
              <w:spacing w:line="360" w:lineRule="auto"/>
              <w:rPr>
                <w:rFonts w:asciiTheme="majorBidi" w:hAnsiTheme="majorBidi" w:cstheme="majorBidi"/>
              </w:rPr>
            </w:pPr>
            <w:r w:rsidRPr="00922A6A">
              <w:rPr>
                <w:rFonts w:asciiTheme="majorBidi" w:hAnsiTheme="majorBidi" w:cstheme="majorBidi"/>
                <w:shd w:val="clear" w:color="FFFFFF" w:fill="auto"/>
              </w:rPr>
              <w:t>45.5%</w:t>
            </w:r>
          </w:p>
        </w:tc>
        <w:tc>
          <w:tcPr>
            <w:tcW w:w="1665" w:type="pct"/>
          </w:tcPr>
          <w:p w14:paraId="4C41BE53"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14.5</w:t>
            </w:r>
          </w:p>
        </w:tc>
        <w:tc>
          <w:tcPr>
            <w:tcW w:w="1658" w:type="pct"/>
          </w:tcPr>
          <w:p w14:paraId="112F5B29" w14:textId="77777777" w:rsidR="00B51B47" w:rsidRPr="00922A6A" w:rsidRDefault="005039D9" w:rsidP="00507FDA">
            <w:pPr>
              <w:spacing w:line="360" w:lineRule="auto"/>
              <w:jc w:val="center"/>
              <w:rPr>
                <w:rFonts w:asciiTheme="majorBidi" w:hAnsiTheme="majorBidi" w:cstheme="majorBidi"/>
              </w:rPr>
            </w:pPr>
            <w:r w:rsidRPr="00922A6A">
              <w:rPr>
                <w:rFonts w:asciiTheme="majorBidi" w:hAnsiTheme="majorBidi" w:cstheme="majorBidi"/>
                <w:shd w:val="clear" w:color="FFFFFF" w:fill="auto"/>
              </w:rPr>
              <w:t>100</w:t>
            </w:r>
          </w:p>
        </w:tc>
      </w:tr>
    </w:tbl>
    <w:p w14:paraId="15868304" w14:textId="77777777" w:rsidR="00B51B47" w:rsidRPr="006A47B7" w:rsidRDefault="00B51B47" w:rsidP="00507FDA">
      <w:pPr>
        <w:spacing w:line="360" w:lineRule="auto"/>
        <w:rPr>
          <w:rFonts w:asciiTheme="majorBidi" w:hAnsiTheme="majorBidi" w:cstheme="majorBidi"/>
          <w:sz w:val="24"/>
          <w:szCs w:val="24"/>
        </w:rPr>
      </w:pPr>
    </w:p>
    <w:p w14:paraId="645CE9C5" w14:textId="77777777" w:rsidR="00B51B47" w:rsidRPr="006A47B7" w:rsidRDefault="005039D9" w:rsidP="00507FDA">
      <w:pPr>
        <w:spacing w:line="360" w:lineRule="auto"/>
        <w:rPr>
          <w:rFonts w:asciiTheme="majorBidi" w:hAnsiTheme="majorBidi" w:cstheme="majorBidi"/>
          <w:sz w:val="24"/>
          <w:szCs w:val="24"/>
        </w:rPr>
      </w:pPr>
      <w:r w:rsidRPr="006A47B7">
        <w:rPr>
          <w:rFonts w:asciiTheme="majorBidi" w:eastAsia="Times New Roman" w:hAnsiTheme="majorBidi" w:cstheme="majorBidi"/>
          <w:b/>
          <w:bCs/>
          <w:color w:val="000000"/>
          <w:sz w:val="24"/>
          <w:szCs w:val="24"/>
          <w:shd w:val="clear" w:color="FFFFFF" w:fill="auto"/>
        </w:rPr>
        <w:lastRenderedPageBreak/>
        <w:t>Table (</w:t>
      </w:r>
      <w:r w:rsidR="00D610C3" w:rsidRPr="006A47B7">
        <w:rPr>
          <w:rFonts w:asciiTheme="majorBidi" w:eastAsia="Times New Roman" w:hAnsiTheme="majorBidi" w:cstheme="majorBidi"/>
          <w:b/>
          <w:bCs/>
          <w:color w:val="000000"/>
          <w:sz w:val="24"/>
          <w:szCs w:val="24"/>
          <w:shd w:val="clear" w:color="FFFFFF" w:fill="auto"/>
        </w:rPr>
        <w:t>5</w:t>
      </w:r>
      <w:r w:rsidRPr="006A47B7">
        <w:rPr>
          <w:rFonts w:asciiTheme="majorBidi" w:eastAsia="Times New Roman" w:hAnsiTheme="majorBidi" w:cstheme="majorBidi"/>
          <w:b/>
          <w:bCs/>
          <w:color w:val="000000"/>
          <w:sz w:val="24"/>
          <w:szCs w:val="24"/>
          <w:shd w:val="clear" w:color="FFFFFF" w:fill="auto"/>
        </w:rPr>
        <w:t>). Regression analysis for prediction of CVP</w:t>
      </w:r>
      <w:r w:rsidRPr="006A47B7">
        <w:rPr>
          <w:rFonts w:asciiTheme="majorBidi" w:eastAsia="Cambria Math" w:hAnsiTheme="majorBidi" w:cstheme="majorBidi"/>
          <w:b/>
          <w:bCs/>
          <w:color w:val="000000"/>
          <w:sz w:val="24"/>
          <w:szCs w:val="24"/>
          <w:shd w:val="clear" w:color="FFFFFF" w:fill="auto"/>
        </w:rPr>
        <w:t>≥</w:t>
      </w:r>
      <w:r w:rsidRPr="006A47B7">
        <w:rPr>
          <w:rFonts w:asciiTheme="majorBidi" w:eastAsia="Times New Roman" w:hAnsiTheme="majorBidi" w:cstheme="majorBidi"/>
          <w:b/>
          <w:bCs/>
          <w:color w:val="000000"/>
          <w:sz w:val="24"/>
          <w:szCs w:val="24"/>
          <w:shd w:val="clear" w:color="FFFFFF" w:fill="auto"/>
        </w:rPr>
        <w:t>10 in order to stop fluid infusion</w:t>
      </w:r>
      <w:r w:rsidRPr="006A47B7">
        <w:rPr>
          <w:rFonts w:asciiTheme="majorBidi" w:eastAsia="Times New Roman" w:hAnsiTheme="majorBidi" w:cstheme="majorBidi"/>
          <w:color w:val="000000"/>
          <w:sz w:val="24"/>
          <w:szCs w:val="24"/>
          <w:shd w:val="clear" w:color="FFFFFF" w:fill="auto"/>
        </w:rPr>
        <w:t>.</w:t>
      </w:r>
    </w:p>
    <w:tbl>
      <w:tblPr>
        <w:tblStyle w:val="LightList-Accent5"/>
        <w:tblW w:w="5000" w:type="pct"/>
        <w:tblLook w:val="0400" w:firstRow="0" w:lastRow="0" w:firstColumn="0" w:lastColumn="0" w:noHBand="0" w:noVBand="1"/>
      </w:tblPr>
      <w:tblGrid>
        <w:gridCol w:w="1504"/>
        <w:gridCol w:w="1048"/>
        <w:gridCol w:w="3057"/>
        <w:gridCol w:w="910"/>
        <w:gridCol w:w="3057"/>
      </w:tblGrid>
      <w:tr w:rsidR="00B51B47" w:rsidRPr="006A47B7" w14:paraId="39A0C4C9"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786" w:type="pct"/>
            <w:vMerge w:val="restart"/>
          </w:tcPr>
          <w:p w14:paraId="5B81290B" w14:textId="77777777" w:rsidR="00B51B47" w:rsidRPr="006A47B7" w:rsidRDefault="00B51B47" w:rsidP="00507FDA">
            <w:pPr>
              <w:spacing w:line="360" w:lineRule="auto"/>
              <w:rPr>
                <w:rFonts w:asciiTheme="majorBidi" w:hAnsiTheme="majorBidi" w:cstheme="majorBidi"/>
                <w:sz w:val="24"/>
                <w:szCs w:val="24"/>
              </w:rPr>
            </w:pPr>
          </w:p>
        </w:tc>
        <w:tc>
          <w:tcPr>
            <w:tcW w:w="2143" w:type="pct"/>
            <w:gridSpan w:val="2"/>
          </w:tcPr>
          <w:p w14:paraId="05107C37" w14:textId="77777777" w:rsidR="00B51B47" w:rsidRPr="006A47B7" w:rsidRDefault="005039D9" w:rsidP="00507FDA">
            <w:pPr>
              <w:spacing w:line="360" w:lineRule="auto"/>
              <w:jc w:val="center"/>
              <w:rPr>
                <w:rFonts w:asciiTheme="majorBidi" w:hAnsiTheme="majorBidi" w:cstheme="majorBidi"/>
                <w:b/>
                <w:bCs/>
                <w:sz w:val="24"/>
                <w:szCs w:val="24"/>
              </w:rPr>
            </w:pPr>
            <w:r w:rsidRPr="006A47B7">
              <w:rPr>
                <w:rFonts w:asciiTheme="majorBidi" w:eastAsia="Times New Roman" w:hAnsiTheme="majorBidi" w:cstheme="majorBidi"/>
                <w:b/>
                <w:bCs/>
                <w:color w:val="000000"/>
                <w:sz w:val="24"/>
                <w:szCs w:val="24"/>
                <w:shd w:val="clear" w:color="FFFFFF" w:fill="auto"/>
              </w:rPr>
              <w:t>Univariable</w:t>
            </w:r>
          </w:p>
        </w:tc>
        <w:tc>
          <w:tcPr>
            <w:tcW w:w="2071" w:type="pct"/>
            <w:gridSpan w:val="2"/>
          </w:tcPr>
          <w:p w14:paraId="647A0F10" w14:textId="77777777" w:rsidR="00B51B47" w:rsidRPr="006A47B7" w:rsidRDefault="005039D9" w:rsidP="00507FDA">
            <w:pPr>
              <w:spacing w:line="360" w:lineRule="auto"/>
              <w:jc w:val="center"/>
              <w:rPr>
                <w:rFonts w:asciiTheme="majorBidi" w:hAnsiTheme="majorBidi" w:cstheme="majorBidi"/>
                <w:b/>
                <w:bCs/>
                <w:sz w:val="24"/>
                <w:szCs w:val="24"/>
              </w:rPr>
            </w:pPr>
            <w:r w:rsidRPr="006A47B7">
              <w:rPr>
                <w:rFonts w:asciiTheme="majorBidi" w:eastAsia="Times New Roman" w:hAnsiTheme="majorBidi" w:cstheme="majorBidi"/>
                <w:b/>
                <w:bCs/>
                <w:color w:val="000000"/>
                <w:sz w:val="24"/>
                <w:szCs w:val="24"/>
                <w:shd w:val="clear" w:color="FFFFFF" w:fill="auto"/>
              </w:rPr>
              <w:t>Multivariable</w:t>
            </w:r>
          </w:p>
        </w:tc>
      </w:tr>
      <w:tr w:rsidR="00C45320" w:rsidRPr="006A47B7" w14:paraId="1C0CCFEF" w14:textId="77777777" w:rsidTr="00AB5D22">
        <w:trPr>
          <w:trHeight w:val="1"/>
        </w:trPr>
        <w:tc>
          <w:tcPr>
            <w:tcW w:w="786" w:type="pct"/>
            <w:vMerge/>
          </w:tcPr>
          <w:p w14:paraId="67AA230A" w14:textId="77777777" w:rsidR="00C45320" w:rsidRPr="006A47B7" w:rsidRDefault="00C45320" w:rsidP="00507FDA">
            <w:pPr>
              <w:spacing w:line="360" w:lineRule="auto"/>
              <w:rPr>
                <w:rFonts w:asciiTheme="majorBidi" w:hAnsiTheme="majorBidi" w:cstheme="majorBidi"/>
                <w:sz w:val="24"/>
                <w:szCs w:val="24"/>
              </w:rPr>
            </w:pPr>
          </w:p>
        </w:tc>
        <w:tc>
          <w:tcPr>
            <w:tcW w:w="547" w:type="pct"/>
          </w:tcPr>
          <w:p w14:paraId="050F368A"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eastAsia="Times New Roman" w:hAnsiTheme="majorBidi" w:cstheme="majorBidi"/>
                <w:b/>
                <w:bCs/>
                <w:i/>
                <w:iCs/>
                <w:color w:val="000000"/>
                <w:sz w:val="24"/>
                <w:szCs w:val="24"/>
                <w:shd w:val="clear" w:color="FFFFFF" w:fill="auto"/>
              </w:rPr>
              <w:t>p</w:t>
            </w:r>
          </w:p>
        </w:tc>
        <w:tc>
          <w:tcPr>
            <w:tcW w:w="1596" w:type="pct"/>
          </w:tcPr>
          <w:p w14:paraId="33AC01EF"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eastAsia="Times New Roman" w:hAnsiTheme="majorBidi" w:cstheme="majorBidi"/>
                <w:b/>
                <w:bCs/>
                <w:i/>
                <w:iCs/>
                <w:color w:val="000000"/>
                <w:sz w:val="24"/>
                <w:szCs w:val="24"/>
                <w:shd w:val="clear" w:color="FFFFFF" w:fill="auto"/>
              </w:rPr>
              <w:t>OR(95% CI)</w:t>
            </w:r>
          </w:p>
        </w:tc>
        <w:tc>
          <w:tcPr>
            <w:tcW w:w="475" w:type="pct"/>
          </w:tcPr>
          <w:p w14:paraId="68D2F155"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eastAsia="Times New Roman" w:hAnsiTheme="majorBidi" w:cstheme="majorBidi"/>
                <w:b/>
                <w:bCs/>
                <w:i/>
                <w:iCs/>
                <w:color w:val="000000"/>
                <w:sz w:val="24"/>
                <w:szCs w:val="24"/>
                <w:shd w:val="clear" w:color="FFFFFF" w:fill="auto"/>
              </w:rPr>
              <w:t>p</w:t>
            </w:r>
          </w:p>
        </w:tc>
        <w:tc>
          <w:tcPr>
            <w:tcW w:w="1596" w:type="pct"/>
          </w:tcPr>
          <w:p w14:paraId="7F813CF7"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eastAsia="Times New Roman" w:hAnsiTheme="majorBidi" w:cstheme="majorBidi"/>
                <w:b/>
                <w:bCs/>
                <w:i/>
                <w:iCs/>
                <w:color w:val="000000"/>
                <w:sz w:val="24"/>
                <w:szCs w:val="24"/>
                <w:shd w:val="clear" w:color="FFFFFF" w:fill="auto"/>
              </w:rPr>
              <w:t>OR(95% CI)</w:t>
            </w:r>
          </w:p>
        </w:tc>
      </w:tr>
      <w:tr w:rsidR="00C45320" w:rsidRPr="006A47B7" w14:paraId="1596C97F"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786" w:type="pct"/>
          </w:tcPr>
          <w:p w14:paraId="3291D592" w14:textId="77777777" w:rsidR="00C45320" w:rsidRPr="006A47B7" w:rsidRDefault="00C45320" w:rsidP="00507FDA">
            <w:pPr>
              <w:spacing w:line="360" w:lineRule="auto"/>
              <w:rPr>
                <w:rFonts w:asciiTheme="majorBidi" w:hAnsiTheme="majorBidi" w:cstheme="majorBidi"/>
                <w:b/>
                <w:bCs/>
                <w:sz w:val="24"/>
                <w:szCs w:val="24"/>
              </w:rPr>
            </w:pPr>
            <w:r w:rsidRPr="006A47B7">
              <w:rPr>
                <w:rFonts w:asciiTheme="majorBidi" w:eastAsia="Times New Roman" w:hAnsiTheme="majorBidi" w:cstheme="majorBidi"/>
                <w:b/>
                <w:bCs/>
                <w:color w:val="000000"/>
                <w:sz w:val="24"/>
                <w:szCs w:val="24"/>
                <w:shd w:val="clear" w:color="FFFFFF" w:fill="auto"/>
              </w:rPr>
              <w:t xml:space="preserve">Age </w:t>
            </w:r>
          </w:p>
        </w:tc>
        <w:tc>
          <w:tcPr>
            <w:tcW w:w="547" w:type="pct"/>
          </w:tcPr>
          <w:p w14:paraId="1FBB2266"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color w:val="000000"/>
                <w:sz w:val="24"/>
                <w:szCs w:val="24"/>
                <w:shd w:val="clear" w:color="FFFFFF" w:fill="auto"/>
              </w:rPr>
              <w:t>0.133</w:t>
            </w:r>
          </w:p>
        </w:tc>
        <w:tc>
          <w:tcPr>
            <w:tcW w:w="1596" w:type="pct"/>
          </w:tcPr>
          <w:p w14:paraId="69236D28"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1.018(0.9950.995-1.042)</w:t>
            </w:r>
          </w:p>
        </w:tc>
        <w:tc>
          <w:tcPr>
            <w:tcW w:w="475" w:type="pct"/>
          </w:tcPr>
          <w:p w14:paraId="0F1F8A06"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color w:val="000000"/>
                <w:sz w:val="24"/>
                <w:szCs w:val="24"/>
                <w:shd w:val="clear" w:color="FFFFFF" w:fill="auto"/>
              </w:rPr>
              <w:t xml:space="preserve"> </w:t>
            </w:r>
          </w:p>
        </w:tc>
        <w:tc>
          <w:tcPr>
            <w:tcW w:w="1596" w:type="pct"/>
          </w:tcPr>
          <w:p w14:paraId="47FED0A3" w14:textId="77777777" w:rsidR="00C45320" w:rsidRPr="006A47B7" w:rsidRDefault="00C45320" w:rsidP="00507FDA">
            <w:pPr>
              <w:spacing w:line="360" w:lineRule="auto"/>
              <w:jc w:val="center"/>
              <w:rPr>
                <w:rFonts w:asciiTheme="majorBidi" w:hAnsiTheme="majorBidi" w:cstheme="majorBidi"/>
                <w:sz w:val="24"/>
                <w:szCs w:val="24"/>
              </w:rPr>
            </w:pPr>
          </w:p>
        </w:tc>
      </w:tr>
      <w:tr w:rsidR="00C45320" w:rsidRPr="006A47B7" w14:paraId="32E38CBB" w14:textId="77777777" w:rsidTr="00AB5D22">
        <w:trPr>
          <w:trHeight w:val="1"/>
        </w:trPr>
        <w:tc>
          <w:tcPr>
            <w:tcW w:w="786" w:type="pct"/>
          </w:tcPr>
          <w:p w14:paraId="54BCBD2A" w14:textId="77777777" w:rsidR="00C45320" w:rsidRPr="006A47B7" w:rsidRDefault="00C45320" w:rsidP="00507FDA">
            <w:pPr>
              <w:spacing w:line="360" w:lineRule="auto"/>
              <w:rPr>
                <w:rFonts w:asciiTheme="majorBidi" w:hAnsiTheme="majorBidi" w:cstheme="majorBidi"/>
                <w:b/>
                <w:bCs/>
                <w:sz w:val="24"/>
                <w:szCs w:val="24"/>
              </w:rPr>
            </w:pPr>
            <w:r w:rsidRPr="006A47B7">
              <w:rPr>
                <w:rFonts w:asciiTheme="majorBidi" w:eastAsia="Times New Roman" w:hAnsiTheme="majorBidi" w:cstheme="majorBidi"/>
                <w:b/>
                <w:bCs/>
                <w:color w:val="000000"/>
                <w:sz w:val="24"/>
                <w:szCs w:val="24"/>
                <w:shd w:val="clear" w:color="FFFFFF" w:fill="auto"/>
              </w:rPr>
              <w:t>Gender</w:t>
            </w:r>
          </w:p>
        </w:tc>
        <w:tc>
          <w:tcPr>
            <w:tcW w:w="547" w:type="pct"/>
          </w:tcPr>
          <w:p w14:paraId="67B1DEA7"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color w:val="000000"/>
                <w:sz w:val="24"/>
                <w:szCs w:val="24"/>
                <w:shd w:val="clear" w:color="FFFFFF" w:fill="auto"/>
              </w:rPr>
              <w:t>0.226</w:t>
            </w:r>
          </w:p>
        </w:tc>
        <w:tc>
          <w:tcPr>
            <w:tcW w:w="1596" w:type="pct"/>
          </w:tcPr>
          <w:p w14:paraId="2DB7AA2D"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0.665(0.3440.344-1.287)</w:t>
            </w:r>
          </w:p>
        </w:tc>
        <w:tc>
          <w:tcPr>
            <w:tcW w:w="475" w:type="pct"/>
          </w:tcPr>
          <w:p w14:paraId="7A083D56"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color w:val="000000"/>
                <w:sz w:val="24"/>
                <w:szCs w:val="24"/>
                <w:shd w:val="clear" w:color="FFFFFF" w:fill="auto"/>
              </w:rPr>
              <w:t xml:space="preserve"> </w:t>
            </w:r>
          </w:p>
        </w:tc>
        <w:tc>
          <w:tcPr>
            <w:tcW w:w="1596" w:type="pct"/>
          </w:tcPr>
          <w:p w14:paraId="292606E7" w14:textId="77777777" w:rsidR="00C45320" w:rsidRPr="006A47B7" w:rsidRDefault="00C45320" w:rsidP="00507FDA">
            <w:pPr>
              <w:spacing w:line="360" w:lineRule="auto"/>
              <w:jc w:val="center"/>
              <w:rPr>
                <w:rFonts w:asciiTheme="majorBidi" w:hAnsiTheme="majorBidi" w:cstheme="majorBidi"/>
                <w:sz w:val="24"/>
                <w:szCs w:val="24"/>
              </w:rPr>
            </w:pPr>
          </w:p>
        </w:tc>
      </w:tr>
      <w:tr w:rsidR="00C45320" w:rsidRPr="006A47B7" w14:paraId="17FFF863"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786" w:type="pct"/>
          </w:tcPr>
          <w:p w14:paraId="5E9AC057" w14:textId="77777777" w:rsidR="00C45320" w:rsidRPr="006A47B7" w:rsidRDefault="00C45320" w:rsidP="00507FDA">
            <w:pPr>
              <w:spacing w:line="360" w:lineRule="auto"/>
              <w:rPr>
                <w:rFonts w:asciiTheme="majorBidi" w:hAnsiTheme="majorBidi" w:cstheme="majorBidi"/>
                <w:b/>
                <w:bCs/>
                <w:sz w:val="24"/>
                <w:szCs w:val="24"/>
              </w:rPr>
            </w:pPr>
            <w:r w:rsidRPr="006A47B7">
              <w:rPr>
                <w:rFonts w:asciiTheme="majorBidi" w:eastAsia="Times New Roman" w:hAnsiTheme="majorBidi" w:cstheme="majorBidi"/>
                <w:b/>
                <w:bCs/>
                <w:color w:val="264A60"/>
                <w:sz w:val="24"/>
                <w:szCs w:val="24"/>
                <w:shd w:val="clear" w:color="FFFFFF" w:fill="auto"/>
              </w:rPr>
              <w:t>BMI</w:t>
            </w:r>
          </w:p>
        </w:tc>
        <w:tc>
          <w:tcPr>
            <w:tcW w:w="547" w:type="pct"/>
          </w:tcPr>
          <w:p w14:paraId="71D1C4B6"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color w:val="000000"/>
                <w:sz w:val="24"/>
                <w:szCs w:val="24"/>
                <w:shd w:val="clear" w:color="FFFFFF" w:fill="auto"/>
              </w:rPr>
              <w:t>0.066</w:t>
            </w:r>
          </w:p>
        </w:tc>
        <w:tc>
          <w:tcPr>
            <w:tcW w:w="1596" w:type="pct"/>
          </w:tcPr>
          <w:p w14:paraId="177464AB"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1.067(0.9960.996-1.144)</w:t>
            </w:r>
          </w:p>
        </w:tc>
        <w:tc>
          <w:tcPr>
            <w:tcW w:w="475" w:type="pct"/>
          </w:tcPr>
          <w:p w14:paraId="6746B2FC"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color w:val="000000"/>
                <w:sz w:val="24"/>
                <w:szCs w:val="24"/>
                <w:shd w:val="clear" w:color="FFFFFF" w:fill="auto"/>
              </w:rPr>
              <w:t xml:space="preserve"> </w:t>
            </w:r>
          </w:p>
        </w:tc>
        <w:tc>
          <w:tcPr>
            <w:tcW w:w="1596" w:type="pct"/>
          </w:tcPr>
          <w:p w14:paraId="1E4D5699" w14:textId="77777777" w:rsidR="00C45320" w:rsidRPr="006A47B7" w:rsidRDefault="00C45320" w:rsidP="00507FDA">
            <w:pPr>
              <w:spacing w:line="360" w:lineRule="auto"/>
              <w:jc w:val="center"/>
              <w:rPr>
                <w:rFonts w:asciiTheme="majorBidi" w:hAnsiTheme="majorBidi" w:cstheme="majorBidi"/>
                <w:sz w:val="24"/>
                <w:szCs w:val="24"/>
              </w:rPr>
            </w:pPr>
          </w:p>
        </w:tc>
      </w:tr>
      <w:tr w:rsidR="00C45320" w:rsidRPr="006A47B7" w14:paraId="413CB4EB" w14:textId="77777777" w:rsidTr="00AB5D22">
        <w:trPr>
          <w:trHeight w:val="1"/>
        </w:trPr>
        <w:tc>
          <w:tcPr>
            <w:tcW w:w="786" w:type="pct"/>
          </w:tcPr>
          <w:p w14:paraId="51E8A868" w14:textId="77777777" w:rsidR="00C45320" w:rsidRPr="006A47B7" w:rsidRDefault="00C45320" w:rsidP="00507FDA">
            <w:pPr>
              <w:spacing w:line="360" w:lineRule="auto"/>
              <w:rPr>
                <w:rFonts w:asciiTheme="majorBidi" w:hAnsiTheme="majorBidi" w:cstheme="majorBidi"/>
                <w:b/>
                <w:bCs/>
                <w:sz w:val="24"/>
                <w:szCs w:val="24"/>
              </w:rPr>
            </w:pPr>
            <w:r w:rsidRPr="006A47B7">
              <w:rPr>
                <w:rFonts w:asciiTheme="majorBidi" w:eastAsia="Times New Roman" w:hAnsiTheme="majorBidi" w:cstheme="majorBidi"/>
                <w:b/>
                <w:bCs/>
                <w:color w:val="264A60"/>
                <w:sz w:val="24"/>
                <w:szCs w:val="24"/>
                <w:shd w:val="clear" w:color="FFFFFF" w:fill="auto"/>
              </w:rPr>
              <w:t>SBP</w:t>
            </w:r>
          </w:p>
        </w:tc>
        <w:tc>
          <w:tcPr>
            <w:tcW w:w="547" w:type="pct"/>
          </w:tcPr>
          <w:p w14:paraId="659191B1"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b/>
                <w:bCs/>
                <w:color w:val="000000"/>
                <w:sz w:val="24"/>
                <w:szCs w:val="24"/>
                <w:shd w:val="clear" w:color="FFFFFF" w:fill="auto"/>
              </w:rPr>
              <w:t>&lt;0.001</w:t>
            </w:r>
          </w:p>
        </w:tc>
        <w:tc>
          <w:tcPr>
            <w:tcW w:w="1596" w:type="pct"/>
          </w:tcPr>
          <w:p w14:paraId="1C8F336E"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1.064(1.0381.038-1.092)</w:t>
            </w:r>
          </w:p>
        </w:tc>
        <w:tc>
          <w:tcPr>
            <w:tcW w:w="475" w:type="pct"/>
          </w:tcPr>
          <w:p w14:paraId="3CB4CDAA"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color w:val="000000"/>
                <w:sz w:val="24"/>
                <w:szCs w:val="24"/>
                <w:shd w:val="clear" w:color="FFFFFF" w:fill="auto"/>
              </w:rPr>
              <w:t>0.536</w:t>
            </w:r>
          </w:p>
        </w:tc>
        <w:tc>
          <w:tcPr>
            <w:tcW w:w="1596" w:type="pct"/>
          </w:tcPr>
          <w:p w14:paraId="7F42D044"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1.031(0.9350.935-1.138)</w:t>
            </w:r>
          </w:p>
        </w:tc>
      </w:tr>
      <w:tr w:rsidR="00C45320" w:rsidRPr="006A47B7" w14:paraId="49BAF2FC"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786" w:type="pct"/>
          </w:tcPr>
          <w:p w14:paraId="50F56AB8" w14:textId="77777777" w:rsidR="00C45320" w:rsidRPr="006A47B7" w:rsidRDefault="00C45320" w:rsidP="00507FDA">
            <w:pPr>
              <w:spacing w:line="360" w:lineRule="auto"/>
              <w:rPr>
                <w:rFonts w:asciiTheme="majorBidi" w:hAnsiTheme="majorBidi" w:cstheme="majorBidi"/>
                <w:b/>
                <w:bCs/>
                <w:sz w:val="24"/>
                <w:szCs w:val="24"/>
              </w:rPr>
            </w:pPr>
            <w:r w:rsidRPr="006A47B7">
              <w:rPr>
                <w:rFonts w:asciiTheme="majorBidi" w:eastAsia="Times New Roman" w:hAnsiTheme="majorBidi" w:cstheme="majorBidi"/>
                <w:b/>
                <w:bCs/>
                <w:color w:val="264A60"/>
                <w:sz w:val="24"/>
                <w:szCs w:val="24"/>
                <w:shd w:val="clear" w:color="FFFFFF" w:fill="auto"/>
              </w:rPr>
              <w:t>DBP</w:t>
            </w:r>
          </w:p>
        </w:tc>
        <w:tc>
          <w:tcPr>
            <w:tcW w:w="547" w:type="pct"/>
          </w:tcPr>
          <w:p w14:paraId="720BFC64"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b/>
                <w:bCs/>
                <w:color w:val="000000"/>
                <w:sz w:val="24"/>
                <w:szCs w:val="24"/>
                <w:shd w:val="clear" w:color="FFFFFF" w:fill="auto"/>
              </w:rPr>
              <w:t>&lt;0.001</w:t>
            </w:r>
          </w:p>
        </w:tc>
        <w:tc>
          <w:tcPr>
            <w:tcW w:w="1596" w:type="pct"/>
          </w:tcPr>
          <w:p w14:paraId="50DE8994"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1.144(1.0821.082-1.21)</w:t>
            </w:r>
          </w:p>
        </w:tc>
        <w:tc>
          <w:tcPr>
            <w:tcW w:w="475" w:type="pct"/>
          </w:tcPr>
          <w:p w14:paraId="0450D959"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color w:val="000000"/>
                <w:sz w:val="24"/>
                <w:szCs w:val="24"/>
                <w:shd w:val="clear" w:color="FFFFFF" w:fill="auto"/>
              </w:rPr>
              <w:t>0.488</w:t>
            </w:r>
          </w:p>
        </w:tc>
        <w:tc>
          <w:tcPr>
            <w:tcW w:w="1596" w:type="pct"/>
          </w:tcPr>
          <w:p w14:paraId="2CAED1FF"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1.072(0.8810.881-1.305)</w:t>
            </w:r>
          </w:p>
        </w:tc>
      </w:tr>
      <w:tr w:rsidR="00C45320" w:rsidRPr="006A47B7" w14:paraId="6611D389" w14:textId="77777777" w:rsidTr="00AB5D22">
        <w:trPr>
          <w:trHeight w:val="1"/>
        </w:trPr>
        <w:tc>
          <w:tcPr>
            <w:tcW w:w="786" w:type="pct"/>
          </w:tcPr>
          <w:p w14:paraId="2408951A" w14:textId="77777777" w:rsidR="00C45320" w:rsidRPr="006A47B7" w:rsidRDefault="00C45320" w:rsidP="00507FDA">
            <w:pPr>
              <w:spacing w:line="360" w:lineRule="auto"/>
              <w:rPr>
                <w:rFonts w:asciiTheme="majorBidi" w:hAnsiTheme="majorBidi" w:cstheme="majorBidi"/>
                <w:b/>
                <w:bCs/>
                <w:sz w:val="24"/>
                <w:szCs w:val="24"/>
              </w:rPr>
            </w:pPr>
            <w:r w:rsidRPr="006A47B7">
              <w:rPr>
                <w:rFonts w:asciiTheme="majorBidi" w:eastAsia="Times New Roman" w:hAnsiTheme="majorBidi" w:cstheme="majorBidi"/>
                <w:b/>
                <w:bCs/>
                <w:color w:val="264A60"/>
                <w:sz w:val="24"/>
                <w:szCs w:val="24"/>
                <w:shd w:val="clear" w:color="FFFFFF" w:fill="auto"/>
              </w:rPr>
              <w:t>MAP</w:t>
            </w:r>
          </w:p>
        </w:tc>
        <w:tc>
          <w:tcPr>
            <w:tcW w:w="547" w:type="pct"/>
          </w:tcPr>
          <w:p w14:paraId="784CBAF8"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b/>
                <w:bCs/>
                <w:color w:val="000000"/>
                <w:sz w:val="24"/>
                <w:szCs w:val="24"/>
                <w:shd w:val="clear" w:color="FFFFFF" w:fill="auto"/>
              </w:rPr>
              <w:t>&lt;0.001</w:t>
            </w:r>
          </w:p>
        </w:tc>
        <w:tc>
          <w:tcPr>
            <w:tcW w:w="1596" w:type="pct"/>
          </w:tcPr>
          <w:p w14:paraId="32ADA299"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1.123(1.0741.074-1.174)</w:t>
            </w:r>
          </w:p>
        </w:tc>
        <w:tc>
          <w:tcPr>
            <w:tcW w:w="475" w:type="pct"/>
          </w:tcPr>
          <w:p w14:paraId="4A438DA4"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color w:val="000000"/>
                <w:sz w:val="24"/>
                <w:szCs w:val="24"/>
                <w:shd w:val="clear" w:color="FFFFFF" w:fill="auto"/>
              </w:rPr>
              <w:t>0.835</w:t>
            </w:r>
          </w:p>
        </w:tc>
        <w:tc>
          <w:tcPr>
            <w:tcW w:w="1596" w:type="pct"/>
          </w:tcPr>
          <w:p w14:paraId="1C9DA00D"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0.972(0.7420.742-1.272)</w:t>
            </w:r>
          </w:p>
        </w:tc>
      </w:tr>
      <w:tr w:rsidR="00C45320" w:rsidRPr="006A47B7" w14:paraId="45856EB8" w14:textId="77777777" w:rsidTr="00AB5D22">
        <w:trPr>
          <w:cnfStyle w:val="000000100000" w:firstRow="0" w:lastRow="0" w:firstColumn="0" w:lastColumn="0" w:oddVBand="0" w:evenVBand="0" w:oddHBand="1" w:evenHBand="0" w:firstRowFirstColumn="0" w:firstRowLastColumn="0" w:lastRowFirstColumn="0" w:lastRowLastColumn="0"/>
          <w:trHeight w:val="1"/>
        </w:trPr>
        <w:tc>
          <w:tcPr>
            <w:tcW w:w="786" w:type="pct"/>
          </w:tcPr>
          <w:p w14:paraId="54ED0D2E" w14:textId="77777777" w:rsidR="00C45320" w:rsidRPr="006A47B7" w:rsidRDefault="00C45320" w:rsidP="00507FDA">
            <w:pPr>
              <w:spacing w:line="360" w:lineRule="auto"/>
              <w:rPr>
                <w:rFonts w:asciiTheme="majorBidi" w:hAnsiTheme="majorBidi" w:cstheme="majorBidi"/>
                <w:b/>
                <w:bCs/>
                <w:sz w:val="24"/>
                <w:szCs w:val="24"/>
              </w:rPr>
            </w:pPr>
            <w:r w:rsidRPr="006A47B7">
              <w:rPr>
                <w:rFonts w:asciiTheme="majorBidi" w:eastAsia="Times New Roman" w:hAnsiTheme="majorBidi" w:cstheme="majorBidi"/>
                <w:b/>
                <w:bCs/>
                <w:color w:val="264A60"/>
                <w:sz w:val="24"/>
                <w:szCs w:val="24"/>
                <w:shd w:val="clear" w:color="FFFFFF" w:fill="auto"/>
              </w:rPr>
              <w:t>HR</w:t>
            </w:r>
          </w:p>
        </w:tc>
        <w:tc>
          <w:tcPr>
            <w:tcW w:w="547" w:type="pct"/>
          </w:tcPr>
          <w:p w14:paraId="251F7275"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b/>
                <w:bCs/>
                <w:color w:val="000000"/>
                <w:sz w:val="24"/>
                <w:szCs w:val="24"/>
                <w:shd w:val="clear" w:color="FFFFFF" w:fill="auto"/>
              </w:rPr>
              <w:t>&lt;0.001</w:t>
            </w:r>
          </w:p>
        </w:tc>
        <w:tc>
          <w:tcPr>
            <w:tcW w:w="1596" w:type="pct"/>
          </w:tcPr>
          <w:p w14:paraId="4276B6B0"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0.935(0.9040.904-0.967)</w:t>
            </w:r>
          </w:p>
        </w:tc>
        <w:tc>
          <w:tcPr>
            <w:tcW w:w="475" w:type="pct"/>
          </w:tcPr>
          <w:p w14:paraId="5F4B6304"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b/>
                <w:bCs/>
                <w:color w:val="000000"/>
                <w:sz w:val="24"/>
                <w:szCs w:val="24"/>
                <w:shd w:val="clear" w:color="FFFFFF" w:fill="auto"/>
              </w:rPr>
              <w:t>0.006</w:t>
            </w:r>
          </w:p>
        </w:tc>
        <w:tc>
          <w:tcPr>
            <w:tcW w:w="1596" w:type="pct"/>
          </w:tcPr>
          <w:p w14:paraId="6A226B90"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0.942(0.9030.903-0.983)</w:t>
            </w:r>
          </w:p>
        </w:tc>
      </w:tr>
      <w:tr w:rsidR="00C45320" w:rsidRPr="006A47B7" w14:paraId="521A8666" w14:textId="77777777" w:rsidTr="00AB5D22">
        <w:trPr>
          <w:trHeight w:val="1"/>
        </w:trPr>
        <w:tc>
          <w:tcPr>
            <w:tcW w:w="786" w:type="pct"/>
          </w:tcPr>
          <w:p w14:paraId="2AF568E7" w14:textId="77777777" w:rsidR="00C45320" w:rsidRPr="006A47B7" w:rsidRDefault="00C45320" w:rsidP="00507FDA">
            <w:pPr>
              <w:spacing w:line="360" w:lineRule="auto"/>
              <w:rPr>
                <w:rFonts w:asciiTheme="majorBidi" w:hAnsiTheme="majorBidi" w:cstheme="majorBidi"/>
                <w:b/>
                <w:bCs/>
                <w:sz w:val="24"/>
                <w:szCs w:val="24"/>
              </w:rPr>
            </w:pPr>
            <w:r w:rsidRPr="006A47B7">
              <w:rPr>
                <w:rFonts w:asciiTheme="majorBidi" w:eastAsia="Times New Roman" w:hAnsiTheme="majorBidi" w:cstheme="majorBidi"/>
                <w:b/>
                <w:bCs/>
                <w:color w:val="264A60"/>
                <w:sz w:val="24"/>
                <w:szCs w:val="24"/>
                <w:shd w:val="clear" w:color="FFFFFF" w:fill="auto"/>
              </w:rPr>
              <w:t>SVC-CI%</w:t>
            </w:r>
          </w:p>
        </w:tc>
        <w:tc>
          <w:tcPr>
            <w:tcW w:w="547" w:type="pct"/>
          </w:tcPr>
          <w:p w14:paraId="23C63A84"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b/>
                <w:bCs/>
                <w:color w:val="000000"/>
                <w:sz w:val="24"/>
                <w:szCs w:val="24"/>
                <w:shd w:val="clear" w:color="FFFFFF" w:fill="auto"/>
              </w:rPr>
              <w:t>0.023</w:t>
            </w:r>
          </w:p>
        </w:tc>
        <w:tc>
          <w:tcPr>
            <w:tcW w:w="1596" w:type="pct"/>
          </w:tcPr>
          <w:p w14:paraId="06BF9034"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0.987(0.9650.965-0.998)</w:t>
            </w:r>
          </w:p>
        </w:tc>
        <w:tc>
          <w:tcPr>
            <w:tcW w:w="475" w:type="pct"/>
          </w:tcPr>
          <w:p w14:paraId="7E0BE1D8"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b/>
                <w:bCs/>
                <w:color w:val="000000"/>
                <w:sz w:val="24"/>
                <w:szCs w:val="24"/>
                <w:shd w:val="clear" w:color="FFFFFF" w:fill="auto"/>
              </w:rPr>
              <w:t>0.045</w:t>
            </w:r>
          </w:p>
        </w:tc>
        <w:tc>
          <w:tcPr>
            <w:tcW w:w="1596" w:type="pct"/>
          </w:tcPr>
          <w:p w14:paraId="28E41C33" w14:textId="77777777" w:rsidR="00C45320" w:rsidRPr="006A47B7" w:rsidRDefault="00C45320" w:rsidP="00507FDA">
            <w:pPr>
              <w:spacing w:line="360" w:lineRule="auto"/>
              <w:jc w:val="center"/>
              <w:rPr>
                <w:rFonts w:asciiTheme="majorBidi" w:hAnsiTheme="majorBidi" w:cstheme="majorBidi"/>
                <w:sz w:val="24"/>
                <w:szCs w:val="24"/>
              </w:rPr>
            </w:pPr>
            <w:r w:rsidRPr="006A47B7">
              <w:rPr>
                <w:rFonts w:asciiTheme="majorBidi" w:hAnsiTheme="majorBidi" w:cstheme="majorBidi"/>
                <w:sz w:val="24"/>
                <w:szCs w:val="24"/>
              </w:rPr>
              <w:t>0.867(0.5980.598-0.945)</w:t>
            </w:r>
          </w:p>
        </w:tc>
      </w:tr>
    </w:tbl>
    <w:p w14:paraId="5EA2E7E5" w14:textId="77777777" w:rsidR="00B51B47" w:rsidRDefault="00C45320" w:rsidP="00507FDA">
      <w:pPr>
        <w:spacing w:after="200" w:line="360" w:lineRule="auto"/>
        <w:jc w:val="both"/>
        <w:rPr>
          <w:rFonts w:asciiTheme="majorBidi" w:hAnsiTheme="majorBidi" w:cstheme="majorBidi"/>
          <w:sz w:val="24"/>
          <w:szCs w:val="24"/>
        </w:rPr>
      </w:pPr>
      <w:r w:rsidRPr="006A47B7">
        <w:rPr>
          <w:rFonts w:asciiTheme="majorBidi" w:hAnsiTheme="majorBidi" w:cstheme="majorBidi"/>
          <w:sz w:val="24"/>
          <w:szCs w:val="24"/>
        </w:rPr>
        <w:t>OR, odds ratio; CI, confidence interval.</w:t>
      </w:r>
    </w:p>
    <w:p w14:paraId="2AA72B29" w14:textId="77777777" w:rsidR="005F3F12" w:rsidRDefault="005F3F12" w:rsidP="00507FDA">
      <w:pPr>
        <w:spacing w:after="200" w:line="360" w:lineRule="auto"/>
        <w:jc w:val="both"/>
        <w:rPr>
          <w:rFonts w:asciiTheme="majorBidi" w:hAnsiTheme="majorBidi" w:cstheme="majorBidi"/>
          <w:sz w:val="24"/>
          <w:szCs w:val="24"/>
        </w:rPr>
      </w:pPr>
    </w:p>
    <w:p w14:paraId="6A2F9E1B" w14:textId="77777777" w:rsidR="005F3F12" w:rsidRPr="00E53306" w:rsidRDefault="005F3F12" w:rsidP="005F3F12">
      <w:pPr>
        <w:spacing w:before="240" w:line="360" w:lineRule="auto"/>
        <w:jc w:val="center"/>
        <w:rPr>
          <w:rFonts w:asciiTheme="majorBidi" w:hAnsiTheme="majorBidi" w:cstheme="majorBidi"/>
          <w:b/>
          <w:bCs/>
          <w:color w:val="000000" w:themeColor="text1"/>
          <w:sz w:val="28"/>
          <w:szCs w:val="28"/>
        </w:rPr>
      </w:pPr>
      <w:r>
        <w:rPr>
          <w:noProof/>
        </w:rPr>
        <w:drawing>
          <wp:inline distT="0" distB="0" distL="0" distR="0" wp14:anchorId="504EEE07" wp14:editId="7F0E5A95">
            <wp:extent cx="5486400" cy="316523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heme="majorBidi" w:hAnsiTheme="majorBidi" w:cstheme="majorBidi"/>
          <w:b/>
          <w:bCs/>
          <w:color w:val="000000" w:themeColor="text1"/>
          <w:sz w:val="28"/>
          <w:szCs w:val="28"/>
        </w:rPr>
        <w:t>Figure (</w:t>
      </w:r>
      <w:r w:rsidR="004C42DC">
        <w:rPr>
          <w:rFonts w:asciiTheme="majorBidi" w:hAnsiTheme="majorBidi" w:cstheme="majorBidi"/>
          <w:b/>
          <w:bCs/>
          <w:color w:val="000000" w:themeColor="text1"/>
          <w:sz w:val="28"/>
          <w:szCs w:val="28"/>
        </w:rPr>
        <w:t>1</w:t>
      </w:r>
      <w:r>
        <w:rPr>
          <w:rFonts w:asciiTheme="majorBidi" w:hAnsiTheme="majorBidi" w:cstheme="majorBidi"/>
          <w:b/>
          <w:bCs/>
          <w:color w:val="000000" w:themeColor="text1"/>
          <w:sz w:val="28"/>
          <w:szCs w:val="28"/>
        </w:rPr>
        <w:t>). The SVC CI</w:t>
      </w:r>
      <w:r w:rsidRPr="00FC1CD1">
        <w:rPr>
          <w:rFonts w:asciiTheme="majorBidi" w:hAnsiTheme="majorBidi" w:cstheme="majorBidi"/>
          <w:b/>
          <w:bCs/>
          <w:color w:val="000000" w:themeColor="text1"/>
          <w:sz w:val="28"/>
          <w:szCs w:val="28"/>
        </w:rPr>
        <w:t xml:space="preserve"> among studied cases according to CVP.</w:t>
      </w:r>
    </w:p>
    <w:p w14:paraId="3FD16653" w14:textId="77777777" w:rsidR="005F3F12" w:rsidRDefault="005F3F12" w:rsidP="005F3F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B5F060" wp14:editId="32D38298">
            <wp:extent cx="5911702" cy="351937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6404" cy="3522176"/>
                    </a:xfrm>
                    <a:prstGeom prst="rect">
                      <a:avLst/>
                    </a:prstGeom>
                    <a:noFill/>
                    <a:ln>
                      <a:noFill/>
                    </a:ln>
                  </pic:spPr>
                </pic:pic>
              </a:graphicData>
            </a:graphic>
          </wp:inline>
        </w:drawing>
      </w:r>
    </w:p>
    <w:p w14:paraId="5F4F42EF" w14:textId="77777777" w:rsidR="005F3F12" w:rsidRDefault="005F3F12" w:rsidP="005F3F12">
      <w:pPr>
        <w:autoSpaceDE w:val="0"/>
        <w:autoSpaceDN w:val="0"/>
        <w:adjustRightInd w:val="0"/>
        <w:spacing w:after="0" w:line="240" w:lineRule="auto"/>
        <w:jc w:val="center"/>
        <w:rPr>
          <w:rFonts w:ascii="Times New Roman" w:hAnsi="Times New Roman" w:cs="Times New Roman"/>
          <w:sz w:val="24"/>
          <w:szCs w:val="24"/>
        </w:rPr>
      </w:pPr>
      <w:r>
        <w:rPr>
          <w:rFonts w:asciiTheme="majorBidi" w:hAnsiTheme="majorBidi" w:cstheme="majorBidi"/>
          <w:b/>
          <w:bCs/>
          <w:color w:val="000000" w:themeColor="text1"/>
          <w:sz w:val="28"/>
          <w:szCs w:val="28"/>
        </w:rPr>
        <w:t>Figure (</w:t>
      </w:r>
      <w:r w:rsidR="004C42DC">
        <w:rPr>
          <w:rFonts w:asciiTheme="majorBidi" w:hAnsiTheme="majorBidi" w:cstheme="majorBidi"/>
          <w:b/>
          <w:bCs/>
          <w:color w:val="000000" w:themeColor="text1"/>
          <w:sz w:val="28"/>
          <w:szCs w:val="28"/>
        </w:rPr>
        <w:t>2</w:t>
      </w:r>
      <w:r>
        <w:rPr>
          <w:rFonts w:asciiTheme="majorBidi" w:hAnsiTheme="majorBidi" w:cstheme="majorBidi"/>
          <w:b/>
          <w:bCs/>
          <w:color w:val="000000" w:themeColor="text1"/>
          <w:sz w:val="28"/>
          <w:szCs w:val="28"/>
        </w:rPr>
        <w:t xml:space="preserve">). </w:t>
      </w:r>
      <w:r w:rsidRPr="00FC1CD1">
        <w:rPr>
          <w:rFonts w:asciiTheme="majorBidi" w:hAnsiTheme="majorBidi" w:cstheme="majorBidi"/>
          <w:b/>
          <w:bCs/>
          <w:color w:val="000000" w:themeColor="text1"/>
          <w:sz w:val="28"/>
          <w:szCs w:val="28"/>
        </w:rPr>
        <w:t>Correlation of CVP with</w:t>
      </w:r>
      <w:r>
        <w:rPr>
          <w:rFonts w:asciiTheme="majorBidi" w:hAnsiTheme="majorBidi" w:cstheme="majorBidi"/>
          <w:b/>
          <w:bCs/>
          <w:color w:val="000000" w:themeColor="text1"/>
          <w:sz w:val="28"/>
          <w:szCs w:val="28"/>
        </w:rPr>
        <w:t xml:space="preserve"> SVC CI.</w:t>
      </w:r>
    </w:p>
    <w:p w14:paraId="7EC7C148" w14:textId="77777777" w:rsidR="005F3F12" w:rsidRPr="006A47B7" w:rsidRDefault="005F3F12" w:rsidP="00507FDA">
      <w:pPr>
        <w:spacing w:after="200" w:line="360" w:lineRule="auto"/>
        <w:jc w:val="both"/>
        <w:rPr>
          <w:rFonts w:asciiTheme="majorBidi" w:hAnsiTheme="majorBidi" w:cstheme="majorBidi"/>
          <w:sz w:val="24"/>
          <w:szCs w:val="24"/>
        </w:rPr>
      </w:pPr>
    </w:p>
    <w:sectPr w:rsidR="005F3F12" w:rsidRPr="006A47B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D96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C6E623A6"/>
    <w:lvl w:ilvl="0" w:tplc="0409000F">
      <w:start w:val="1"/>
      <w:numFmt w:val="decimal"/>
      <w:lvlText w:val="%1."/>
      <w:lvlJc w:val="left"/>
      <w:pPr>
        <w:ind w:left="810" w:hanging="360"/>
      </w:pPr>
      <w:rPr>
        <w:rFonts w:hint="default"/>
        <w:sz w:val="32"/>
        <w:szCs w:val="3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00000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04"/>
    <w:multiLevelType w:val="hybridMultilevel"/>
    <w:tmpl w:val="594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C0C4ABA"/>
    <w:lvl w:ilvl="0" w:tplc="0409000F">
      <w:start w:val="8"/>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15:restartNumberingAfterBreak="0">
    <w:nsid w:val="00000006"/>
    <w:multiLevelType w:val="hybridMultilevel"/>
    <w:tmpl w:val="8BAE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7C7E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84EA42E"/>
    <w:lvl w:ilvl="0" w:tplc="C4A46324">
      <w:start w:val="3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A0047"/>
    <w:multiLevelType w:val="hybridMultilevel"/>
    <w:tmpl w:val="FFF893A4"/>
    <w:lvl w:ilvl="0" w:tplc="04090001">
      <w:start w:val="1"/>
      <w:numFmt w:val="bullet"/>
      <w:lvlText w:val=""/>
      <w:lvlJc w:val="left"/>
      <w:pPr>
        <w:tabs>
          <w:tab w:val="num" w:pos="360"/>
        </w:tabs>
        <w:ind w:left="360" w:hanging="360"/>
      </w:pPr>
      <w:rPr>
        <w:rFonts w:ascii="Symbol" w:hAnsi="Symbol" w:hint="default"/>
      </w:rPr>
    </w:lvl>
    <w:lvl w:ilvl="1" w:tplc="F5B82556">
      <w:start w:val="1"/>
      <w:numFmt w:val="decimal"/>
      <w:lvlText w:val="%2."/>
      <w:lvlJc w:val="left"/>
      <w:pPr>
        <w:tabs>
          <w:tab w:val="num" w:pos="360"/>
        </w:tabs>
        <w:ind w:left="360" w:hanging="360"/>
      </w:pPr>
      <w:rPr>
        <w:rFonts w:cs="Times New Roman"/>
        <w:b w:val="0"/>
        <w:b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741B7BCF"/>
    <w:multiLevelType w:val="hybridMultilevel"/>
    <w:tmpl w:val="D468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435876">
    <w:abstractNumId w:val="3"/>
  </w:num>
  <w:num w:numId="2" w16cid:durableId="100150085">
    <w:abstractNumId w:val="9"/>
  </w:num>
  <w:num w:numId="3" w16cid:durableId="1558861279">
    <w:abstractNumId w:val="0"/>
  </w:num>
  <w:num w:numId="4" w16cid:durableId="470056513">
    <w:abstractNumId w:val="1"/>
  </w:num>
  <w:num w:numId="5" w16cid:durableId="1774594456">
    <w:abstractNumId w:val="2"/>
  </w:num>
  <w:num w:numId="6" w16cid:durableId="1687709396">
    <w:abstractNumId w:val="4"/>
  </w:num>
  <w:num w:numId="7" w16cid:durableId="1396129445">
    <w:abstractNumId w:val="5"/>
  </w:num>
  <w:num w:numId="8" w16cid:durableId="179466924">
    <w:abstractNumId w:val="6"/>
  </w:num>
  <w:num w:numId="9" w16cid:durableId="1150245466">
    <w:abstractNumId w:val="7"/>
  </w:num>
  <w:num w:numId="10" w16cid:durableId="1620794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B47"/>
    <w:rsid w:val="00017CE4"/>
    <w:rsid w:val="000217C4"/>
    <w:rsid w:val="000A497A"/>
    <w:rsid w:val="000B6885"/>
    <w:rsid w:val="000C68E8"/>
    <w:rsid w:val="00124FF5"/>
    <w:rsid w:val="00134F64"/>
    <w:rsid w:val="001A3398"/>
    <w:rsid w:val="001F06AA"/>
    <w:rsid w:val="00224373"/>
    <w:rsid w:val="002C0DB0"/>
    <w:rsid w:val="002D01F0"/>
    <w:rsid w:val="002E3F75"/>
    <w:rsid w:val="002E6769"/>
    <w:rsid w:val="002F2F61"/>
    <w:rsid w:val="00311057"/>
    <w:rsid w:val="00342ECB"/>
    <w:rsid w:val="00373AED"/>
    <w:rsid w:val="003C7376"/>
    <w:rsid w:val="003D378A"/>
    <w:rsid w:val="003D6CEB"/>
    <w:rsid w:val="003E5124"/>
    <w:rsid w:val="00422DD0"/>
    <w:rsid w:val="00430E0A"/>
    <w:rsid w:val="00460CC2"/>
    <w:rsid w:val="00491045"/>
    <w:rsid w:val="004A3046"/>
    <w:rsid w:val="004B62FD"/>
    <w:rsid w:val="004C3D73"/>
    <w:rsid w:val="004C42DC"/>
    <w:rsid w:val="004D4B1A"/>
    <w:rsid w:val="005039D9"/>
    <w:rsid w:val="00504592"/>
    <w:rsid w:val="00507FDA"/>
    <w:rsid w:val="005231E4"/>
    <w:rsid w:val="00545558"/>
    <w:rsid w:val="00556F63"/>
    <w:rsid w:val="005D1226"/>
    <w:rsid w:val="005D1FF4"/>
    <w:rsid w:val="005D70C0"/>
    <w:rsid w:val="005F0F78"/>
    <w:rsid w:val="005F3F12"/>
    <w:rsid w:val="00607ED3"/>
    <w:rsid w:val="00612339"/>
    <w:rsid w:val="006A47B7"/>
    <w:rsid w:val="00775DAD"/>
    <w:rsid w:val="007A594C"/>
    <w:rsid w:val="007F2F5B"/>
    <w:rsid w:val="00803E94"/>
    <w:rsid w:val="008D0F3A"/>
    <w:rsid w:val="00900007"/>
    <w:rsid w:val="009147AE"/>
    <w:rsid w:val="00922A6A"/>
    <w:rsid w:val="009257BF"/>
    <w:rsid w:val="0093347F"/>
    <w:rsid w:val="009D2E0A"/>
    <w:rsid w:val="00A44291"/>
    <w:rsid w:val="00AA6C13"/>
    <w:rsid w:val="00AB5D22"/>
    <w:rsid w:val="00B2135C"/>
    <w:rsid w:val="00B51B47"/>
    <w:rsid w:val="00B6718E"/>
    <w:rsid w:val="00B732FB"/>
    <w:rsid w:val="00C45320"/>
    <w:rsid w:val="00C74C90"/>
    <w:rsid w:val="00CD7213"/>
    <w:rsid w:val="00D17CB3"/>
    <w:rsid w:val="00D517CE"/>
    <w:rsid w:val="00D610C3"/>
    <w:rsid w:val="00D67FD6"/>
    <w:rsid w:val="00D71622"/>
    <w:rsid w:val="00DC17C7"/>
    <w:rsid w:val="00E15F8D"/>
    <w:rsid w:val="00E26BA2"/>
    <w:rsid w:val="00E41205"/>
    <w:rsid w:val="00E60581"/>
    <w:rsid w:val="00F61F53"/>
    <w:rsid w:val="00F72832"/>
    <w:rsid w:val="00FD6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38B7"/>
  <w15:docId w15:val="{636CA930-3F0D-4585-A382-FBCA7449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qFormat/>
    <w:pPr>
      <w:keepNext/>
      <w:keepLines/>
      <w:widowControl w:val="0"/>
      <w:spacing w:before="200" w:after="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3">
    <w:name w:val="Grid Table 1 Light - Accent 113"/>
    <w:basedOn w:val="TableNormal"/>
    <w:uiPriority w:val="4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4">
    <w:name w:val="Grid Table 1 Light - Accent 114"/>
    <w:basedOn w:val="TableNormal"/>
    <w:uiPriority w:val="4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5">
    <w:name w:val="Grid Table 1 Light - Accent 115"/>
    <w:basedOn w:val="TableNormal"/>
    <w:uiPriority w:val="4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customStyle="1" w:styleId="EndNoteBibliography">
    <w:name w:val="&quot;EndNote Bibliography&quot;"/>
    <w:basedOn w:val="Normal"/>
    <w:pPr>
      <w:spacing w:beforeLines="200" w:after="0" w:line="240" w:lineRule="auto"/>
      <w:ind w:firstLine="560"/>
      <w:jc w:val="both"/>
    </w:pPr>
    <w:rPr>
      <w:rFonts w:ascii="Times New Roman" w:eastAsia="Times New Roman" w:hAnsi="Times New Roman" w:cs="Times New Roman"/>
      <w:noProof/>
      <w:sz w:val="24"/>
      <w:szCs w:val="24"/>
    </w:rPr>
  </w:style>
  <w:style w:type="paragraph" w:styleId="Footer">
    <w:name w:val="footer"/>
    <w:basedOn w:val="Normal"/>
    <w:pPr>
      <w:tabs>
        <w:tab w:val="center" w:pos="4320"/>
        <w:tab w:val="right" w:pos="8640"/>
      </w:tabs>
      <w:spacing w:after="0" w:line="240" w:lineRule="auto"/>
    </w:pPr>
    <w:rPr>
      <w:rFonts w:ascii="Times New Roman" w:eastAsia="SimSun" w:hAnsi="Times New Roman" w:cs="Times New Roman"/>
      <w:sz w:val="21"/>
    </w:rPr>
  </w:style>
  <w:style w:type="paragraph" w:styleId="Header">
    <w:name w:val="header"/>
    <w:basedOn w:val="Normal"/>
    <w:pPr>
      <w:tabs>
        <w:tab w:val="center" w:pos="4320"/>
        <w:tab w:val="right" w:pos="8640"/>
      </w:tabs>
      <w:spacing w:after="0" w:line="240" w:lineRule="auto"/>
    </w:pPr>
    <w:rPr>
      <w:rFonts w:ascii="Times New Roman" w:eastAsia="SimSun" w:hAnsi="Times New Roman" w:cs="Times New Roman"/>
      <w:sz w:val="21"/>
    </w:rPr>
  </w:style>
  <w:style w:type="table" w:customStyle="1" w:styleId="GridTable6Colorful-Accent21">
    <w:name w:val="Grid Table 6 Colorful - Accent 21"/>
    <w:basedOn w:val="TableNormal"/>
    <w:uiPriority w:val="51"/>
    <w:pPr>
      <w:spacing w:after="0" w:line="240" w:lineRule="auto"/>
    </w:pPr>
    <w:rPr>
      <w:rFonts w:eastAsia="SimSu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EndNoteBibliographyChar">
    <w:name w:val="EndNote Bibliography Char"/>
    <w:basedOn w:val="DefaultParagraphFont"/>
    <w:link w:val="EndNoteBibliography0"/>
    <w:rPr>
      <w:rFonts w:ascii="Times New Roman" w:eastAsia="Times New Roman" w:hAnsi="Times New Roman" w:cs="Times New Roman"/>
      <w:noProof/>
      <w:sz w:val="24"/>
      <w:szCs w:val="24"/>
    </w:rPr>
  </w:style>
  <w:style w:type="paragraph" w:customStyle="1" w:styleId="EndNoteBibliography0">
    <w:name w:val="EndNote Bibliography"/>
    <w:basedOn w:val="Normal"/>
    <w:link w:val="EndNoteBibliographyChar"/>
    <w:pPr>
      <w:spacing w:beforeLines="200" w:after="0" w:line="240" w:lineRule="auto"/>
      <w:ind w:firstLine="567"/>
      <w:jc w:val="both"/>
    </w:pPr>
    <w:rPr>
      <w:rFonts w:ascii="Times New Roman" w:eastAsia="Times New Roman" w:hAnsi="Times New Roman" w:cs="Times New Roman"/>
      <w:noProof/>
      <w:sz w:val="24"/>
      <w:szCs w:val="24"/>
    </w:rPr>
  </w:style>
  <w:style w:type="paragraph" w:styleId="HTMLPreformatted">
    <w:name w:val="HTML Preformatted"/>
    <w:basedOn w:val="Normal"/>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pPr>
    <w:rPr>
      <w:rFonts w:ascii="Courier New" w:eastAsia="Times New Roman" w:hAnsi="Courier New" w:cs="Courier New"/>
      <w:sz w:val="20"/>
      <w:szCs w:val="20"/>
    </w:rPr>
  </w:style>
  <w:style w:type="paragraph" w:customStyle="1" w:styleId="Default">
    <w:name w:val="&quot;Default&quot;"/>
    <w:pPr>
      <w:autoSpaceDE w:val="0"/>
      <w:autoSpaceDN w:val="0"/>
      <w:adjustRightInd w:val="0"/>
      <w:spacing w:after="0" w:line="240" w:lineRule="auto"/>
    </w:pPr>
    <w:rPr>
      <w:rFonts w:ascii="Book Antiqua" w:eastAsia="SimSun" w:hAnsi="Book Antiqua" w:cs="Book Antiqua"/>
      <w:color w:val="000000"/>
      <w:sz w:val="24"/>
      <w:szCs w:val="24"/>
    </w:rPr>
  </w:style>
  <w:style w:type="paragraph" w:styleId="NoSpacing">
    <w:name w:val="No Spacing"/>
    <w:qFormat/>
    <w:pPr>
      <w:spacing w:after="0" w:line="240" w:lineRule="auto"/>
    </w:pPr>
    <w:rPr>
      <w:rFonts w:ascii="Times New Roman" w:eastAsia="SimSun" w:hAnsi="Times New Roman" w:cs="Times New Roman"/>
      <w:sz w:val="21"/>
    </w:rPr>
  </w:style>
  <w:style w:type="paragraph" w:customStyle="1" w:styleId="Default0">
    <w:name w:val="&quot;Default&quot;"/>
    <w:pPr>
      <w:autoSpaceDE w:val="0"/>
      <w:autoSpaceDN w:val="0"/>
      <w:adjustRightInd w:val="0"/>
      <w:spacing w:after="0" w:line="240" w:lineRule="auto"/>
    </w:pPr>
    <w:rPr>
      <w:rFonts w:ascii="Book Antiqua" w:eastAsia="SimSun" w:hAnsi="Book Antiqua" w:cs="Book Antiqua"/>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BalloonText">
    <w:name w:val="Balloon Text"/>
    <w:basedOn w:val="Normal"/>
    <w:link w:val="BalloonTextChar"/>
    <w:uiPriority w:val="99"/>
    <w:semiHidden/>
    <w:unhideWhenUsed/>
    <w:rsid w:val="0050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92"/>
    <w:rPr>
      <w:rFonts w:ascii="Tahoma" w:hAnsi="Tahoma" w:cs="Tahoma"/>
      <w:sz w:val="16"/>
      <w:szCs w:val="16"/>
    </w:rPr>
  </w:style>
  <w:style w:type="table" w:styleId="LightGrid-Accent5">
    <w:name w:val="Light Grid Accent 5"/>
    <w:basedOn w:val="TableNormal"/>
    <w:uiPriority w:val="62"/>
    <w:rsid w:val="00DC17C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DC17C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DC17C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H:\20-5-2022\1-Needed\Dr.%20Gehad%20Mohsen%20Anasthesia\Mastersheet%20f%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Sheet3!$D$14</c:f>
              <c:strCache>
                <c:ptCount val="1"/>
                <c:pt idx="0">
                  <c:v>SVC-CI%</c:v>
                </c:pt>
              </c:strCache>
            </c:strRef>
          </c:tx>
          <c:spPr>
            <a:solidFill>
              <a:schemeClr val="tx1"/>
            </a:solidFill>
          </c:spPr>
          <c:invertIfNegative val="0"/>
          <c:dPt>
            <c:idx val="0"/>
            <c:invertIfNegative val="0"/>
            <c:bubble3D val="0"/>
            <c:extLst>
              <c:ext xmlns:c16="http://schemas.microsoft.com/office/drawing/2014/chart" uri="{C3380CC4-5D6E-409C-BE32-E72D297353CC}">
                <c16:uniqueId val="{00000000-744D-45EE-B988-B7E5F26BA1BB}"/>
              </c:ext>
            </c:extLst>
          </c:dPt>
          <c:dPt>
            <c:idx val="1"/>
            <c:invertIfNegative val="0"/>
            <c:bubble3D val="0"/>
            <c:extLst>
              <c:ext xmlns:c16="http://schemas.microsoft.com/office/drawing/2014/chart" uri="{C3380CC4-5D6E-409C-BE32-E72D297353CC}">
                <c16:uniqueId val="{00000001-744D-45EE-B988-B7E5F26BA1BB}"/>
              </c:ext>
            </c:extLst>
          </c:dPt>
          <c:cat>
            <c:strRef>
              <c:f>Sheet3!$E$13:$F$13</c:f>
              <c:strCache>
                <c:ptCount val="2"/>
                <c:pt idx="0">
                  <c:v>CVP&lt;10</c:v>
                </c:pt>
                <c:pt idx="1">
                  <c:v>CVP≥10</c:v>
                </c:pt>
              </c:strCache>
            </c:strRef>
          </c:cat>
          <c:val>
            <c:numRef>
              <c:f>Sheet3!$E$14:$F$14</c:f>
              <c:numCache>
                <c:formatCode>0.00%</c:formatCode>
                <c:ptCount val="2"/>
                <c:pt idx="0">
                  <c:v>0.29799999999999999</c:v>
                </c:pt>
                <c:pt idx="1">
                  <c:v>0.26300000000000001</c:v>
                </c:pt>
              </c:numCache>
            </c:numRef>
          </c:val>
          <c:extLst>
            <c:ext xmlns:c16="http://schemas.microsoft.com/office/drawing/2014/chart" uri="{C3380CC4-5D6E-409C-BE32-E72D297353CC}">
              <c16:uniqueId val="{00000002-744D-45EE-B988-B7E5F26BA1BB}"/>
            </c:ext>
          </c:extLst>
        </c:ser>
        <c:dLbls>
          <c:showLegendKey val="0"/>
          <c:showVal val="0"/>
          <c:showCatName val="0"/>
          <c:showSerName val="0"/>
          <c:showPercent val="0"/>
          <c:showBubbleSize val="0"/>
        </c:dLbls>
        <c:gapWidth val="150"/>
        <c:axId val="96035584"/>
        <c:axId val="96037120"/>
      </c:barChart>
      <c:catAx>
        <c:axId val="96035584"/>
        <c:scaling>
          <c:orientation val="minMax"/>
        </c:scaling>
        <c:delete val="0"/>
        <c:axPos val="b"/>
        <c:numFmt formatCode="General" sourceLinked="0"/>
        <c:majorTickMark val="out"/>
        <c:minorTickMark val="none"/>
        <c:tickLblPos val="nextTo"/>
        <c:crossAx val="96037120"/>
        <c:crosses val="autoZero"/>
        <c:auto val="1"/>
        <c:lblAlgn val="ctr"/>
        <c:lblOffset val="100"/>
        <c:noMultiLvlLbl val="0"/>
      </c:catAx>
      <c:valAx>
        <c:axId val="96037120"/>
        <c:scaling>
          <c:orientation val="minMax"/>
        </c:scaling>
        <c:delete val="0"/>
        <c:axPos val="l"/>
        <c:majorGridlines/>
        <c:title>
          <c:tx>
            <c:rich>
              <a:bodyPr rot="-5400000" vert="horz"/>
              <a:lstStyle/>
              <a:p>
                <a:pPr>
                  <a:defRPr/>
                </a:pPr>
                <a:r>
                  <a:rPr lang="en-US"/>
                  <a:t>SVC-CI (%)</a:t>
                </a:r>
              </a:p>
            </c:rich>
          </c:tx>
          <c:overlay val="0"/>
        </c:title>
        <c:numFmt formatCode="0%" sourceLinked="0"/>
        <c:majorTickMark val="out"/>
        <c:minorTickMark val="none"/>
        <c:tickLblPos val="nextTo"/>
        <c:crossAx val="96035584"/>
        <c:crosses val="autoZero"/>
        <c:crossBetween val="between"/>
      </c:valAx>
    </c:plotArea>
    <c:plotVisOnly val="1"/>
    <c:dispBlanksAs val="gap"/>
    <c:showDLblsOverMax val="0"/>
  </c:chart>
  <c:spPr>
    <a:ln>
      <a:noFill/>
    </a:ln>
  </c:spPr>
  <c:txPr>
    <a:bodyPr/>
    <a:lstStyle/>
    <a:p>
      <a:pPr>
        <a:defRPr sz="1200" b="1">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4272</Words>
  <Characters>24354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mancy behos</dc:creator>
  <cp:lastModifiedBy>Ahmad Moustafa</cp:lastModifiedBy>
  <cp:revision>3</cp:revision>
  <dcterms:created xsi:type="dcterms:W3CDTF">2022-09-02T22:31:00Z</dcterms:created>
  <dcterms:modified xsi:type="dcterms:W3CDTF">2022-09-06T18:06:00Z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bce691c1aa2641aca840b29c7f422e8b</vt:lpwstr>
  </property>
</Properties>
</file>